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51A32" w:rsidRDefault="00951A32" w:rsidP="00951A32">
      <w:pPr>
        <w:pStyle w:val="a3"/>
        <w:jc w:val="center"/>
        <w:rPr>
          <w:rFonts w:cs="FrankRuehl"/>
          <w:noProof w:val="0"/>
          <w:sz w:val="28"/>
          <w:szCs w:val="28"/>
          <w:rtl/>
        </w:rPr>
      </w:pPr>
      <w:r>
        <w:rPr>
          <w:rFonts w:cs="FrankRuehl"/>
          <w:sz w:val="28"/>
          <w:szCs w:val="28"/>
        </w:rPr>
        <w:drawing>
          <wp:inline distT="0" distB="0" distL="0" distR="0" wp14:anchorId="5C44A94A" wp14:editId="511F5892">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10"/>
        <w:gridCol w:w="3496"/>
      </w:tblGrid>
      <w:tr w:rsidR="00951A32" w:rsidTr="00706B6F">
        <w:trPr>
          <w:trHeight w:hRule="exact" w:val="704"/>
          <w:jc w:val="center"/>
        </w:trPr>
        <w:sdt>
          <w:sdtPr>
            <w:rPr>
              <w:rFonts w:ascii="Tahoma" w:hAnsi="Tahoma"/>
              <w:color w:val="000080"/>
              <w:sz w:val="32"/>
              <w:szCs w:val="32"/>
              <w:rtl/>
            </w:rPr>
            <w:alias w:val="1174"/>
            <w:tag w:val="1174"/>
            <w:id w:val="-1585920285"/>
            <w:text w:multiLine="1"/>
          </w:sdtPr>
          <w:sdtEndPr/>
          <w:sdtContent>
            <w:tc>
              <w:tcPr>
                <w:tcW w:w="8306" w:type="dxa"/>
                <w:gridSpan w:val="2"/>
              </w:tcPr>
              <w:p w:rsidR="00951A32" w:rsidRPr="00F038D8" w:rsidRDefault="00951A32" w:rsidP="00904006">
                <w:pPr>
                  <w:pStyle w:val="a3"/>
                  <w:jc w:val="center"/>
                  <w:rPr>
                    <w:rFonts w:ascii="Tahoma" w:hAnsi="Tahoma"/>
                    <w:noProof w:val="0"/>
                    <w:color w:val="000080"/>
                    <w:sz w:val="32"/>
                    <w:szCs w:val="32"/>
                    <w:rtl/>
                  </w:rPr>
                </w:pPr>
                <w:r w:rsidRPr="00F038D8">
                  <w:rPr>
                    <w:rFonts w:ascii="Tahoma" w:hAnsi="Tahoma"/>
                    <w:color w:val="000080"/>
                    <w:sz w:val="32"/>
                    <w:szCs w:val="32"/>
                    <w:rtl/>
                  </w:rPr>
                  <w:t>בית משפט לענייני משפחה באילת</w:t>
                </w:r>
              </w:p>
            </w:tc>
          </w:sdtContent>
        </w:sdt>
      </w:tr>
      <w:tr w:rsidR="00951A32" w:rsidTr="00706B6F">
        <w:trPr>
          <w:trHeight w:val="337"/>
          <w:jc w:val="center"/>
        </w:trPr>
        <w:tc>
          <w:tcPr>
            <w:tcW w:w="4810" w:type="dxa"/>
          </w:tcPr>
          <w:p w:rsidR="00951A32" w:rsidRDefault="00951A32" w:rsidP="00904006">
            <w:pPr>
              <w:rPr>
                <w:b/>
                <w:bCs/>
                <w:noProof w:val="0"/>
                <w:sz w:val="26"/>
                <w:szCs w:val="26"/>
                <w:rtl/>
              </w:rPr>
            </w:pPr>
          </w:p>
        </w:tc>
        <w:tc>
          <w:tcPr>
            <w:tcW w:w="3496" w:type="dxa"/>
          </w:tcPr>
          <w:p w:rsidR="00951A32" w:rsidRDefault="00951A32" w:rsidP="00904006">
            <w:pPr>
              <w:pStyle w:val="a3"/>
              <w:jc w:val="right"/>
              <w:rPr>
                <w:b/>
                <w:bCs/>
                <w:noProof w:val="0"/>
                <w:sz w:val="26"/>
                <w:szCs w:val="26"/>
                <w:rtl/>
              </w:rPr>
            </w:pPr>
          </w:p>
        </w:tc>
      </w:tr>
      <w:tr w:rsidR="00951A32" w:rsidTr="00706B6F">
        <w:trPr>
          <w:trHeight w:val="337"/>
          <w:jc w:val="center"/>
        </w:trPr>
        <w:tc>
          <w:tcPr>
            <w:tcW w:w="8306" w:type="dxa"/>
            <w:gridSpan w:val="2"/>
          </w:tcPr>
          <w:p w:rsidR="00951A32" w:rsidRDefault="00951A32" w:rsidP="00706B6F">
            <w:pPr>
              <w:rPr>
                <w:b/>
                <w:bCs/>
                <w:noProof w:val="0"/>
                <w:sz w:val="26"/>
                <w:szCs w:val="26"/>
                <w:rtl/>
              </w:rPr>
            </w:pPr>
            <w:proofErr w:type="spellStart"/>
            <w:r>
              <w:rPr>
                <w:b/>
                <w:bCs/>
                <w:noProof w:val="0"/>
                <w:sz w:val="26"/>
                <w:szCs w:val="26"/>
                <w:rtl/>
              </w:rPr>
              <w:t>תמ"ש</w:t>
            </w:r>
            <w:proofErr w:type="spellEnd"/>
            <w:r>
              <w:rPr>
                <w:b/>
                <w:bCs/>
                <w:noProof w:val="0"/>
                <w:sz w:val="26"/>
                <w:szCs w:val="26"/>
                <w:rtl/>
              </w:rPr>
              <w:t xml:space="preserve"> </w:t>
            </w:r>
            <w:bookmarkStart w:id="0" w:name="_GoBack"/>
            <w:r>
              <w:rPr>
                <w:b/>
                <w:bCs/>
                <w:noProof w:val="0"/>
                <w:sz w:val="26"/>
                <w:szCs w:val="26"/>
                <w:rtl/>
              </w:rPr>
              <w:t xml:space="preserve">8820-12-23 </w:t>
            </w:r>
            <w:bookmarkEnd w:id="0"/>
            <w:r>
              <w:rPr>
                <w:b/>
                <w:bCs/>
                <w:noProof w:val="0"/>
                <w:sz w:val="26"/>
                <w:szCs w:val="26"/>
                <w:rtl/>
              </w:rPr>
              <w:t>מ נ' פרקליטות מחוז דרום - אזרחי</w:t>
            </w:r>
          </w:p>
          <w:p w:rsidR="00951A32" w:rsidRPr="007B7765" w:rsidRDefault="00951A32" w:rsidP="00904006">
            <w:pPr>
              <w:rPr>
                <w:b/>
                <w:bCs/>
                <w:noProof w:val="0"/>
                <w:sz w:val="2"/>
                <w:szCs w:val="2"/>
                <w:rtl/>
              </w:rPr>
            </w:pPr>
          </w:p>
          <w:p w:rsidR="00951A32" w:rsidRDefault="00951A32" w:rsidP="00904006">
            <w:pPr>
              <w:rPr>
                <w:sz w:val="20"/>
                <w:szCs w:val="20"/>
                <w:rtl/>
              </w:rPr>
            </w:pPr>
            <w:r>
              <w:rPr>
                <w:rFonts w:hint="cs"/>
                <w:rtl/>
              </w:rPr>
              <w:t xml:space="preserve">                           </w:t>
            </w:r>
            <w:r>
              <w:rPr>
                <w:rFonts w:hint="cs"/>
                <w:sz w:val="20"/>
                <w:szCs w:val="20"/>
                <w:rtl/>
              </w:rPr>
              <w:t xml:space="preserve">                                       </w:t>
            </w:r>
          </w:p>
          <w:p w:rsidR="00951A32" w:rsidRPr="00E1068A" w:rsidRDefault="00951A32" w:rsidP="00904006">
            <w:pPr>
              <w:rPr>
                <w:sz w:val="20"/>
                <w:szCs w:val="20"/>
                <w:rtl/>
              </w:rPr>
            </w:pPr>
          </w:p>
        </w:tc>
      </w:tr>
    </w:tbl>
    <w:p w:rsidR="00706B6F" w:rsidRDefault="00706B6F" w:rsidP="00706B6F">
      <w:pPr>
        <w:suppressLineNumbers/>
        <w:rPr>
          <w:rtl/>
        </w:rPr>
      </w:pPr>
    </w:p>
    <w:tbl>
      <w:tblPr>
        <w:tblStyle w:val="a5"/>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706B6F" w:rsidTr="00904006">
        <w:trPr>
          <w:jc w:val="center"/>
        </w:trPr>
        <w:tc>
          <w:tcPr>
            <w:tcW w:w="743" w:type="dxa"/>
          </w:tcPr>
          <w:p w:rsidR="00706B6F" w:rsidRPr="00C71943" w:rsidRDefault="00706B6F" w:rsidP="00904006">
            <w:pPr>
              <w:suppressLineNumbers/>
              <w:jc w:val="both"/>
              <w:rPr>
                <w:rFonts w:ascii="Arial" w:hAnsi="Arial"/>
                <w:b/>
                <w:bCs/>
                <w:sz w:val="26"/>
                <w:szCs w:val="26"/>
                <w:rtl/>
              </w:rPr>
            </w:pPr>
            <w:r w:rsidRPr="00C71943">
              <w:rPr>
                <w:rFonts w:ascii="Arial" w:hAnsi="Arial" w:hint="cs"/>
                <w:b/>
                <w:bCs/>
                <w:sz w:val="26"/>
                <w:szCs w:val="26"/>
                <w:rtl/>
              </w:rPr>
              <w:t>ב</w:t>
            </w:r>
            <w:r w:rsidRPr="00C71943">
              <w:rPr>
                <w:rFonts w:ascii="Arial" w:hAnsi="Arial"/>
                <w:b/>
                <w:bCs/>
                <w:sz w:val="26"/>
                <w:szCs w:val="26"/>
                <w:rtl/>
              </w:rPr>
              <w:t xml:space="preserve">פני </w:t>
            </w:r>
          </w:p>
        </w:tc>
        <w:tc>
          <w:tcPr>
            <w:tcW w:w="8077" w:type="dxa"/>
            <w:gridSpan w:val="2"/>
          </w:tcPr>
          <w:p w:rsidR="00706B6F" w:rsidRDefault="00706B6F" w:rsidP="00904006">
            <w:pPr>
              <w:suppressLineNumbers/>
              <w:rPr>
                <w:rFonts w:ascii="Arial" w:hAnsi="Arial" w:cs="FrankRuehl"/>
                <w:sz w:val="26"/>
                <w:szCs w:val="26"/>
                <w:highlight w:val="yellow"/>
                <w:rtl/>
              </w:rPr>
            </w:pPr>
            <w:r w:rsidRPr="00C71943">
              <w:rPr>
                <w:rFonts w:ascii="Arial" w:hAnsi="Arial" w:hint="cs"/>
                <w:b/>
                <w:bCs/>
                <w:sz w:val="26"/>
                <w:szCs w:val="26"/>
                <w:rtl/>
              </w:rPr>
              <w:t>כב' השופט הבכיר, מרדכי (מוטי) לוי</w:t>
            </w:r>
          </w:p>
          <w:p w:rsidR="00706B6F" w:rsidRPr="00C71943" w:rsidRDefault="00706B6F" w:rsidP="00904006">
            <w:pPr>
              <w:suppressLineNumbers/>
              <w:rPr>
                <w:rFonts w:ascii="Arial" w:hAnsi="Arial" w:cs="FrankRuehl"/>
                <w:sz w:val="26"/>
                <w:szCs w:val="26"/>
                <w:highlight w:val="yellow"/>
              </w:rPr>
            </w:pPr>
          </w:p>
        </w:tc>
      </w:tr>
      <w:tr w:rsidR="00706B6F" w:rsidTr="00904006">
        <w:trPr>
          <w:jc w:val="center"/>
        </w:trPr>
        <w:tc>
          <w:tcPr>
            <w:tcW w:w="3249" w:type="dxa"/>
            <w:gridSpan w:val="2"/>
          </w:tcPr>
          <w:p w:rsidR="00706B6F" w:rsidRDefault="00706B6F" w:rsidP="00904006">
            <w:pPr>
              <w:suppressLineNumbers/>
              <w:rPr>
                <w:rFonts w:ascii="Arial" w:hAnsi="Arial"/>
                <w:b/>
                <w:bCs/>
                <w:noProof w:val="0"/>
                <w:sz w:val="26"/>
                <w:szCs w:val="26"/>
              </w:rPr>
            </w:pPr>
          </w:p>
          <w:p w:rsidR="00706B6F" w:rsidRDefault="00706B6F" w:rsidP="00904006">
            <w:pPr>
              <w:suppressLineNumbers/>
              <w:rPr>
                <w:rFonts w:ascii="Arial" w:hAnsi="Arial"/>
                <w:b/>
                <w:bCs/>
                <w:noProof w:val="0"/>
                <w:sz w:val="26"/>
                <w:szCs w:val="26"/>
                <w:rtl/>
              </w:rPr>
            </w:pPr>
            <w:r>
              <w:rPr>
                <w:rFonts w:ascii="Arial" w:hAnsi="Arial"/>
                <w:b/>
                <w:bCs/>
                <w:noProof w:val="0"/>
                <w:sz w:val="26"/>
                <w:szCs w:val="26"/>
                <w:rtl/>
              </w:rPr>
              <w:t>תובע</w:t>
            </w:r>
            <w:r>
              <w:rPr>
                <w:rFonts w:ascii="Arial" w:hAnsi="Arial" w:hint="cs"/>
                <w:b/>
                <w:bCs/>
                <w:noProof w:val="0"/>
                <w:sz w:val="26"/>
                <w:szCs w:val="26"/>
                <w:rtl/>
              </w:rPr>
              <w:t>ת</w:t>
            </w:r>
          </w:p>
        </w:tc>
        <w:tc>
          <w:tcPr>
            <w:tcW w:w="5571" w:type="dxa"/>
          </w:tcPr>
          <w:p w:rsidR="00706B6F" w:rsidRDefault="00706B6F" w:rsidP="00904006">
            <w:pPr>
              <w:suppressLineNumbers/>
              <w:rPr>
                <w:rFonts w:ascii="Arial" w:hAnsi="Arial"/>
                <w:b/>
                <w:bCs/>
                <w:noProof w:val="0"/>
                <w:sz w:val="26"/>
                <w:szCs w:val="26"/>
                <w:rtl/>
              </w:rPr>
            </w:pPr>
          </w:p>
          <w:p w:rsidR="00706B6F" w:rsidRDefault="00706B6F" w:rsidP="00706B6F">
            <w:pPr>
              <w:suppressLineNumbers/>
              <w:rPr>
                <w:b/>
                <w:bCs/>
                <w:noProof w:val="0"/>
                <w:sz w:val="26"/>
                <w:szCs w:val="26"/>
                <w:rtl/>
              </w:rPr>
            </w:pPr>
            <w:r>
              <w:rPr>
                <w:rFonts w:ascii="Arial" w:hAnsi="Arial"/>
                <w:b/>
                <w:bCs/>
                <w:noProof w:val="0"/>
                <w:sz w:val="26"/>
                <w:szCs w:val="26"/>
                <w:rtl/>
              </w:rPr>
              <w:t>ד</w:t>
            </w:r>
            <w:r>
              <w:rPr>
                <w:rFonts w:ascii="Arial" w:hAnsi="Arial" w:hint="cs"/>
                <w:b/>
                <w:bCs/>
                <w:noProof w:val="0"/>
                <w:sz w:val="26"/>
                <w:szCs w:val="26"/>
                <w:rtl/>
              </w:rPr>
              <w:t>.</w:t>
            </w:r>
            <w:r>
              <w:rPr>
                <w:rFonts w:ascii="Arial" w:hAnsi="Arial"/>
                <w:b/>
                <w:bCs/>
                <w:noProof w:val="0"/>
                <w:sz w:val="26"/>
                <w:szCs w:val="26"/>
                <w:rtl/>
              </w:rPr>
              <w:t>מ</w:t>
            </w:r>
            <w:r>
              <w:rPr>
                <w:rFonts w:ascii="Arial" w:hAnsi="Arial" w:hint="cs"/>
                <w:b/>
                <w:bCs/>
                <w:noProof w:val="0"/>
                <w:sz w:val="26"/>
                <w:szCs w:val="26"/>
                <w:rtl/>
              </w:rPr>
              <w:t>.</w:t>
            </w:r>
          </w:p>
          <w:p w:rsidR="00706B6F" w:rsidRPr="00C71943" w:rsidRDefault="00706B6F" w:rsidP="00904006">
            <w:pPr>
              <w:suppressLineNumbers/>
              <w:rPr>
                <w:noProof w:val="0"/>
              </w:rPr>
            </w:pPr>
            <w:r>
              <w:rPr>
                <w:rFonts w:hint="cs"/>
                <w:noProof w:val="0"/>
                <w:rtl/>
              </w:rPr>
              <w:t>מיוצגת ע"י עו"ד רחל ויצמן-</w:t>
            </w:r>
            <w:proofErr w:type="spellStart"/>
            <w:r>
              <w:rPr>
                <w:rFonts w:hint="cs"/>
                <w:noProof w:val="0"/>
                <w:rtl/>
              </w:rPr>
              <w:t>דריי</w:t>
            </w:r>
            <w:proofErr w:type="spellEnd"/>
          </w:p>
        </w:tc>
      </w:tr>
      <w:tr w:rsidR="00706B6F" w:rsidTr="00904006">
        <w:trPr>
          <w:jc w:val="center"/>
        </w:trPr>
        <w:tc>
          <w:tcPr>
            <w:tcW w:w="8820" w:type="dxa"/>
            <w:gridSpan w:val="3"/>
          </w:tcPr>
          <w:p w:rsidR="00706B6F" w:rsidRDefault="00706B6F" w:rsidP="00904006">
            <w:pPr>
              <w:suppressLineNumbers/>
              <w:rPr>
                <w:rFonts w:ascii="Arial" w:hAnsi="Arial"/>
                <w:b/>
                <w:bCs/>
                <w:noProof w:val="0"/>
                <w:sz w:val="26"/>
                <w:szCs w:val="26"/>
                <w:rtl/>
              </w:rPr>
            </w:pPr>
          </w:p>
          <w:p w:rsidR="00706B6F" w:rsidRDefault="00706B6F" w:rsidP="00904006">
            <w:pPr>
              <w:suppressLineNumbers/>
              <w:jc w:val="center"/>
              <w:rPr>
                <w:rFonts w:ascii="Arial" w:hAnsi="Arial"/>
                <w:b/>
                <w:bCs/>
                <w:noProof w:val="0"/>
                <w:sz w:val="26"/>
                <w:szCs w:val="26"/>
              </w:rPr>
            </w:pPr>
            <w:r>
              <w:rPr>
                <w:rFonts w:ascii="Arial" w:hAnsi="Arial"/>
                <w:b/>
                <w:bCs/>
                <w:noProof w:val="0"/>
                <w:sz w:val="26"/>
                <w:szCs w:val="26"/>
                <w:rtl/>
              </w:rPr>
              <w:t>נגד</w:t>
            </w:r>
          </w:p>
        </w:tc>
      </w:tr>
      <w:tr w:rsidR="00706B6F" w:rsidTr="00904006">
        <w:trPr>
          <w:jc w:val="center"/>
        </w:trPr>
        <w:tc>
          <w:tcPr>
            <w:tcW w:w="3249" w:type="dxa"/>
            <w:gridSpan w:val="2"/>
          </w:tcPr>
          <w:p w:rsidR="00706B6F" w:rsidRDefault="00706B6F" w:rsidP="00904006">
            <w:pPr>
              <w:suppressLineNumbers/>
              <w:rPr>
                <w:rFonts w:ascii="Arial" w:hAnsi="Arial"/>
                <w:b/>
                <w:bCs/>
                <w:noProof w:val="0"/>
                <w:sz w:val="26"/>
                <w:szCs w:val="26"/>
                <w:rtl/>
              </w:rPr>
            </w:pPr>
          </w:p>
          <w:p w:rsidR="00706B6F" w:rsidRDefault="00706B6F" w:rsidP="00706B6F">
            <w:pPr>
              <w:suppressLineNumbers/>
              <w:tabs>
                <w:tab w:val="right" w:pos="3033"/>
              </w:tabs>
              <w:rPr>
                <w:rFonts w:ascii="Arial" w:hAnsi="Arial"/>
                <w:b/>
                <w:bCs/>
                <w:noProof w:val="0"/>
                <w:sz w:val="26"/>
                <w:szCs w:val="26"/>
              </w:rPr>
            </w:pPr>
            <w:r>
              <w:rPr>
                <w:rFonts w:ascii="Arial" w:hAnsi="Arial"/>
                <w:b/>
                <w:bCs/>
                <w:noProof w:val="0"/>
                <w:sz w:val="26"/>
                <w:szCs w:val="26"/>
                <w:rtl/>
              </w:rPr>
              <w:t>נתבע</w:t>
            </w:r>
            <w:r>
              <w:rPr>
                <w:rFonts w:ascii="Arial" w:hAnsi="Arial" w:hint="cs"/>
                <w:b/>
                <w:bCs/>
                <w:noProof w:val="0"/>
                <w:sz w:val="26"/>
                <w:szCs w:val="26"/>
                <w:rtl/>
              </w:rPr>
              <w:t>ת</w:t>
            </w:r>
            <w:r>
              <w:rPr>
                <w:rFonts w:ascii="Arial" w:hAnsi="Arial"/>
                <w:b/>
                <w:bCs/>
                <w:noProof w:val="0"/>
                <w:sz w:val="26"/>
                <w:szCs w:val="26"/>
              </w:rPr>
              <w:tab/>
            </w:r>
          </w:p>
        </w:tc>
        <w:tc>
          <w:tcPr>
            <w:tcW w:w="5571" w:type="dxa"/>
          </w:tcPr>
          <w:p w:rsidR="00706B6F" w:rsidRDefault="00706B6F" w:rsidP="00904006">
            <w:pPr>
              <w:suppressLineNumbers/>
              <w:rPr>
                <w:rFonts w:ascii="Arial" w:hAnsi="Arial"/>
                <w:b/>
                <w:bCs/>
                <w:noProof w:val="0"/>
                <w:sz w:val="26"/>
                <w:szCs w:val="26"/>
                <w:rtl/>
              </w:rPr>
            </w:pPr>
          </w:p>
          <w:p w:rsidR="00706B6F" w:rsidRDefault="00706B6F" w:rsidP="00904006">
            <w:pPr>
              <w:suppressLineNumbers/>
              <w:rPr>
                <w:rFonts w:ascii="Arial" w:hAnsi="Arial"/>
                <w:b/>
                <w:bCs/>
                <w:noProof w:val="0"/>
                <w:sz w:val="26"/>
                <w:szCs w:val="26"/>
                <w:rtl/>
              </w:rPr>
            </w:pPr>
            <w:r>
              <w:rPr>
                <w:rFonts w:ascii="Arial" w:hAnsi="Arial" w:hint="cs"/>
                <w:b/>
                <w:bCs/>
                <w:noProof w:val="0"/>
                <w:sz w:val="26"/>
                <w:szCs w:val="26"/>
                <w:rtl/>
              </w:rPr>
              <w:t>היועצת המשפטית לממשלה</w:t>
            </w:r>
          </w:p>
          <w:p w:rsidR="00706B6F" w:rsidRPr="00C71943" w:rsidRDefault="00706B6F" w:rsidP="00904006">
            <w:pPr>
              <w:suppressLineNumbers/>
              <w:rPr>
                <w:noProof w:val="0"/>
                <w:rtl/>
              </w:rPr>
            </w:pPr>
            <w:r w:rsidRPr="00C71943">
              <w:rPr>
                <w:rFonts w:ascii="Arial" w:hAnsi="Arial" w:hint="cs"/>
                <w:noProof w:val="0"/>
                <w:rtl/>
              </w:rPr>
              <w:t xml:space="preserve">מיוצגת ע"י </w:t>
            </w:r>
            <w:r w:rsidRPr="00C71943">
              <w:rPr>
                <w:rFonts w:ascii="Arial" w:hAnsi="Arial"/>
                <w:noProof w:val="0"/>
                <w:rtl/>
              </w:rPr>
              <w:t>פרקליטות מחוז דרום - אזרחי</w:t>
            </w:r>
          </w:p>
        </w:tc>
      </w:tr>
      <w:tr w:rsidR="00706B6F" w:rsidTr="00904006">
        <w:trPr>
          <w:jc w:val="center"/>
        </w:trPr>
        <w:tc>
          <w:tcPr>
            <w:tcW w:w="8820" w:type="dxa"/>
            <w:gridSpan w:val="3"/>
          </w:tcPr>
          <w:p w:rsidR="00706B6F" w:rsidRDefault="00706B6F" w:rsidP="00904006">
            <w:pPr>
              <w:suppressLineNumbers/>
              <w:rPr>
                <w:rFonts w:ascii="Arial" w:hAnsi="Arial"/>
                <w:b/>
                <w:bCs/>
                <w:noProof w:val="0"/>
                <w:sz w:val="26"/>
                <w:szCs w:val="26"/>
                <w:rtl/>
              </w:rPr>
            </w:pPr>
          </w:p>
        </w:tc>
      </w:tr>
    </w:tbl>
    <w:p w:rsidR="00706B6F" w:rsidRDefault="00706B6F" w:rsidP="00706B6F">
      <w:pPr>
        <w:suppressLineNumbers/>
        <w:rPr>
          <w:rtl/>
        </w:rPr>
      </w:pPr>
    </w:p>
    <w:tbl>
      <w:tblPr>
        <w:tblStyle w:val="a5"/>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706B6F" w:rsidRPr="00DE1E7D" w:rsidTr="00904006">
        <w:trPr>
          <w:jc w:val="center"/>
        </w:trPr>
        <w:tc>
          <w:tcPr>
            <w:tcW w:w="8820" w:type="dxa"/>
          </w:tcPr>
          <w:p w:rsidR="00706B6F" w:rsidRDefault="00706B6F" w:rsidP="00904006">
            <w:pPr>
              <w:bidi w:val="0"/>
              <w:jc w:val="center"/>
              <w:rPr>
                <w:rFonts w:ascii="Arial" w:hAnsi="Arial"/>
                <w:b/>
                <w:bCs/>
                <w:noProof w:val="0"/>
                <w:sz w:val="28"/>
                <w:szCs w:val="28"/>
                <w:u w:val="single"/>
                <w:rtl/>
              </w:rPr>
            </w:pPr>
            <w:r w:rsidRPr="00D44968">
              <w:rPr>
                <w:rFonts w:ascii="Arial" w:hAnsi="Arial" w:hint="cs"/>
                <w:b/>
                <w:bCs/>
                <w:noProof w:val="0"/>
                <w:sz w:val="28"/>
                <w:szCs w:val="28"/>
                <w:u w:val="single"/>
                <w:rtl/>
              </w:rPr>
              <w:t>החלטה</w:t>
            </w:r>
          </w:p>
          <w:p w:rsidR="00706B6F" w:rsidRPr="00D44968" w:rsidRDefault="00706B6F" w:rsidP="00904006">
            <w:pPr>
              <w:bidi w:val="0"/>
              <w:jc w:val="center"/>
              <w:rPr>
                <w:rFonts w:ascii="Arial" w:hAnsi="Arial"/>
                <w:b/>
                <w:bCs/>
                <w:noProof w:val="0"/>
                <w:sz w:val="28"/>
                <w:szCs w:val="28"/>
                <w:u w:val="single"/>
              </w:rPr>
            </w:pPr>
          </w:p>
        </w:tc>
      </w:tr>
    </w:tbl>
    <w:p w:rsidR="00706B6F" w:rsidRDefault="00706B6F" w:rsidP="00706B6F">
      <w:pPr>
        <w:spacing w:line="360" w:lineRule="auto"/>
        <w:jc w:val="both"/>
        <w:rPr>
          <w:rFonts w:ascii="David" w:hAnsi="David"/>
          <w:noProof w:val="0"/>
          <w:rtl/>
        </w:rPr>
      </w:pPr>
      <w:bookmarkStart w:id="1" w:name="NGCSBookmark"/>
      <w:bookmarkEnd w:id="1"/>
      <w:r>
        <w:rPr>
          <w:rFonts w:ascii="David" w:hAnsi="David"/>
          <w:rtl/>
        </w:rPr>
        <w:t>לפני בקשה שכותרתה "בקשה להורות על שימוש בזרע הנפטר". בבקשתה עתר</w:t>
      </w:r>
      <w:r>
        <w:rPr>
          <w:rFonts w:ascii="David" w:hAnsi="David" w:hint="cs"/>
          <w:rtl/>
        </w:rPr>
        <w:t>ה</w:t>
      </w:r>
      <w:r>
        <w:rPr>
          <w:rFonts w:ascii="David" w:hAnsi="David"/>
          <w:rtl/>
        </w:rPr>
        <w:t xml:space="preserve"> המבקשת לאפשר לה לעשות שימוש בזרעו של בעלה המנוח ל.מ. שהלך לבית עולמו  ביום 8/8/2022 (להלן-</w:t>
      </w:r>
      <w:r>
        <w:rPr>
          <w:rFonts w:ascii="Miriam" w:hAnsi="Miriam" w:cs="Miriam"/>
          <w:b/>
          <w:bCs/>
          <w:rtl/>
        </w:rPr>
        <w:t>המנוח</w:t>
      </w:r>
      <w:r>
        <w:rPr>
          <w:rFonts w:ascii="David" w:hAnsi="David"/>
          <w:rtl/>
        </w:rPr>
        <w:t>).</w:t>
      </w:r>
    </w:p>
    <w:p w:rsidR="00706B6F" w:rsidRDefault="00706B6F" w:rsidP="00706B6F">
      <w:pPr>
        <w:spacing w:line="360" w:lineRule="auto"/>
        <w:jc w:val="both"/>
        <w:rPr>
          <w:rFonts w:ascii="David" w:hAnsi="David"/>
          <w:noProof w:val="0"/>
        </w:rPr>
      </w:pPr>
    </w:p>
    <w:p w:rsidR="00706B6F" w:rsidRDefault="00706B6F" w:rsidP="00706B6F">
      <w:pPr>
        <w:spacing w:line="360" w:lineRule="auto"/>
        <w:jc w:val="both"/>
        <w:rPr>
          <w:rFonts w:ascii="David" w:hAnsi="David"/>
          <w:b/>
          <w:bCs/>
          <w:sz w:val="26"/>
          <w:szCs w:val="26"/>
          <w:u w:val="single"/>
          <w:rtl/>
        </w:rPr>
      </w:pPr>
      <w:r>
        <w:rPr>
          <w:rFonts w:ascii="David" w:hAnsi="David"/>
          <w:b/>
          <w:bCs/>
          <w:sz w:val="26"/>
          <w:szCs w:val="26"/>
          <w:u w:val="single"/>
          <w:rtl/>
        </w:rPr>
        <w:t>עיקר טענות המבקשת:</w:t>
      </w:r>
    </w:p>
    <w:p w:rsidR="00706B6F" w:rsidRDefault="00706B6F" w:rsidP="00706B6F">
      <w:pPr>
        <w:spacing w:line="360" w:lineRule="auto"/>
        <w:jc w:val="both"/>
        <w:rPr>
          <w:rFonts w:ascii="David" w:hAnsi="David"/>
          <w:b/>
          <w:bCs/>
          <w:sz w:val="26"/>
          <w:szCs w:val="26"/>
          <w:u w:val="single"/>
          <w:rtl/>
        </w:rPr>
      </w:pPr>
    </w:p>
    <w:p w:rsidR="00706B6F" w:rsidRPr="00C71943" w:rsidRDefault="00706B6F" w:rsidP="00706B6F">
      <w:pPr>
        <w:spacing w:line="360" w:lineRule="auto"/>
        <w:jc w:val="both"/>
        <w:rPr>
          <w:rFonts w:ascii="David" w:hAnsi="David"/>
          <w:rtl/>
        </w:rPr>
      </w:pPr>
      <w:r w:rsidRPr="00C71943">
        <w:rPr>
          <w:rFonts w:ascii="David" w:hAnsi="David"/>
          <w:rtl/>
        </w:rPr>
        <w:t>1.</w:t>
      </w:r>
      <w:r>
        <w:rPr>
          <w:rFonts w:ascii="David" w:hAnsi="David"/>
          <w:rtl/>
        </w:rPr>
        <w:tab/>
      </w:r>
      <w:r w:rsidRPr="00C71943">
        <w:rPr>
          <w:rFonts w:ascii="David" w:hAnsi="David"/>
          <w:rtl/>
        </w:rPr>
        <w:t>היא והמנוח הכירו בשנת 2016 והיו לבני זוג תחילה כחברים ובשנת 2019 נישאו כדמו"י.</w:t>
      </w:r>
    </w:p>
    <w:p w:rsidR="00706B6F" w:rsidRPr="00C71943" w:rsidRDefault="00706B6F" w:rsidP="00706B6F">
      <w:pPr>
        <w:rPr>
          <w:rtl/>
        </w:rPr>
      </w:pPr>
    </w:p>
    <w:p w:rsidR="00706B6F" w:rsidRDefault="00706B6F" w:rsidP="00706B6F">
      <w:pPr>
        <w:spacing w:line="360" w:lineRule="auto"/>
        <w:ind w:left="720" w:hanging="720"/>
        <w:jc w:val="both"/>
        <w:rPr>
          <w:rFonts w:ascii="David" w:hAnsi="David"/>
          <w:rtl/>
        </w:rPr>
      </w:pPr>
      <w:r>
        <w:rPr>
          <w:rFonts w:ascii="David" w:hAnsi="David"/>
          <w:rtl/>
        </w:rPr>
        <w:t>2.</w:t>
      </w:r>
      <w:r>
        <w:rPr>
          <w:rFonts w:ascii="David" w:hAnsi="David"/>
          <w:rtl/>
        </w:rPr>
        <w:tab/>
        <w:t>עובר לנישואיהם נתגלה בגופו של המנוח גידול סרטני. משכך, טרם ביצוע טיפולים כנגד הגידול שפשט בגופו ובכללם טיפולים כימותרפיים ביקש המנוח לשאוב זרע על מנת להעמיד לו צאצא. כך נעשה.</w:t>
      </w:r>
    </w:p>
    <w:p w:rsidR="00706B6F" w:rsidRDefault="00706B6F" w:rsidP="00706B6F">
      <w:pPr>
        <w:spacing w:line="360" w:lineRule="auto"/>
        <w:ind w:left="720" w:hanging="720"/>
        <w:jc w:val="both"/>
        <w:rPr>
          <w:rFonts w:ascii="David" w:hAnsi="David"/>
          <w:rtl/>
        </w:rPr>
      </w:pPr>
    </w:p>
    <w:p w:rsidR="00706B6F" w:rsidRDefault="00706B6F" w:rsidP="00706B6F">
      <w:pPr>
        <w:spacing w:line="360" w:lineRule="auto"/>
        <w:ind w:left="720" w:hanging="720"/>
        <w:jc w:val="both"/>
        <w:rPr>
          <w:rFonts w:ascii="David" w:hAnsi="David"/>
          <w:rtl/>
        </w:rPr>
      </w:pPr>
      <w:r>
        <w:rPr>
          <w:rFonts w:ascii="David" w:hAnsi="David"/>
          <w:rtl/>
        </w:rPr>
        <w:tab/>
        <w:t>המבקשת צירפה "</w:t>
      </w:r>
      <w:r>
        <w:rPr>
          <w:rFonts w:ascii="David" w:hAnsi="David"/>
          <w:u w:val="single"/>
          <w:rtl/>
        </w:rPr>
        <w:t>כרטיס שומר זרע</w:t>
      </w:r>
      <w:r>
        <w:rPr>
          <w:rFonts w:ascii="David" w:hAnsi="David"/>
          <w:rtl/>
        </w:rPr>
        <w:t>" מיום 8/2/2017 בו הביע המנוח את רצונו ש"</w:t>
      </w:r>
      <w:r>
        <w:rPr>
          <w:rFonts w:ascii="David" w:hAnsi="David"/>
          <w:b/>
          <w:bCs/>
          <w:rtl/>
        </w:rPr>
        <w:t xml:space="preserve">במידה ולא אוכל לתת הוראה מכל סיבה שהיא, לרבות פטירה, אני מאשר שימוש בזירעונים לצורך טיפולי פוריות לבת זוגי". </w:t>
      </w:r>
      <w:r>
        <w:rPr>
          <w:rFonts w:ascii="David" w:hAnsi="David"/>
          <w:rtl/>
        </w:rPr>
        <w:t>פרטי בת הזוג אליה כיוון על פי המסמך היא המבקשת.</w:t>
      </w:r>
    </w:p>
    <w:p w:rsidR="00706B6F" w:rsidRDefault="00706B6F" w:rsidP="00706B6F">
      <w:pPr>
        <w:spacing w:line="360" w:lineRule="auto"/>
        <w:ind w:left="720" w:hanging="720"/>
        <w:jc w:val="both"/>
        <w:rPr>
          <w:rFonts w:ascii="David" w:hAnsi="David"/>
          <w:rtl/>
        </w:rPr>
      </w:pPr>
    </w:p>
    <w:p w:rsidR="00706B6F" w:rsidRDefault="00706B6F" w:rsidP="00706B6F">
      <w:pPr>
        <w:spacing w:line="360" w:lineRule="auto"/>
        <w:ind w:left="720"/>
        <w:jc w:val="both"/>
        <w:rPr>
          <w:rFonts w:ascii="David" w:hAnsi="David"/>
          <w:rtl/>
        </w:rPr>
      </w:pPr>
      <w:r>
        <w:rPr>
          <w:rFonts w:ascii="David" w:hAnsi="David"/>
          <w:rtl/>
        </w:rPr>
        <w:t>עוד צירפה המבקשת מסמך המעיד על פירוט "</w:t>
      </w:r>
      <w:r>
        <w:rPr>
          <w:rFonts w:ascii="David" w:hAnsi="David"/>
          <w:u w:val="single"/>
          <w:rtl/>
        </w:rPr>
        <w:t>מנות זרע קפוא</w:t>
      </w:r>
      <w:r>
        <w:rPr>
          <w:rFonts w:ascii="David" w:hAnsi="David"/>
          <w:rtl/>
        </w:rPr>
        <w:t>" מיום 20/2/2019 בבית החולים בילינסון השרון.</w:t>
      </w:r>
    </w:p>
    <w:p w:rsidR="00706B6F" w:rsidRDefault="00706B6F" w:rsidP="00706B6F">
      <w:pPr>
        <w:spacing w:line="360" w:lineRule="auto"/>
        <w:ind w:left="720"/>
        <w:jc w:val="both"/>
        <w:rPr>
          <w:rFonts w:ascii="David" w:hAnsi="David"/>
          <w:rtl/>
        </w:rPr>
      </w:pPr>
    </w:p>
    <w:p w:rsidR="00706B6F" w:rsidRDefault="00706B6F" w:rsidP="00706B6F">
      <w:pPr>
        <w:spacing w:line="360" w:lineRule="auto"/>
        <w:ind w:left="714" w:hanging="630"/>
        <w:jc w:val="both"/>
        <w:rPr>
          <w:rFonts w:ascii="David" w:hAnsi="David"/>
          <w:rtl/>
        </w:rPr>
      </w:pPr>
      <w:r>
        <w:rPr>
          <w:rFonts w:ascii="David" w:hAnsi="David"/>
          <w:rtl/>
        </w:rPr>
        <w:t>3.</w:t>
      </w:r>
      <w:r>
        <w:rPr>
          <w:rFonts w:ascii="David" w:hAnsi="David"/>
          <w:rtl/>
        </w:rPr>
        <w:tab/>
        <w:t>לאחר נישואיהם ניסו הצדדים לממש רצונם ללדת. המבקשת עברה טיפולי פוריות אולם בשל פגמים  גנטיים בעובר נאלצה לבצע הפלה.</w:t>
      </w:r>
    </w:p>
    <w:p w:rsidR="00706B6F" w:rsidRDefault="00706B6F" w:rsidP="00706B6F">
      <w:pPr>
        <w:spacing w:line="360" w:lineRule="auto"/>
        <w:ind w:left="714" w:hanging="630"/>
        <w:jc w:val="both"/>
        <w:rPr>
          <w:rFonts w:ascii="David" w:hAnsi="David"/>
          <w:rtl/>
        </w:rPr>
      </w:pPr>
      <w:r>
        <w:rPr>
          <w:rFonts w:ascii="David" w:hAnsi="David"/>
          <w:rtl/>
        </w:rPr>
        <w:lastRenderedPageBreak/>
        <w:tab/>
        <w:t xml:space="preserve">המבקשת צירפה מסמך מבית החולים בילינסון שכותרתו "עדכון תיק ללא מטופל" הנושא תאריך 6/5/2021 ממנו עולה שבאותו מועד </w:t>
      </w:r>
      <w:r w:rsidRPr="008F1F6F">
        <w:rPr>
          <w:rFonts w:ascii="David" w:hAnsi="David"/>
          <w:u w:val="single"/>
          <w:rtl/>
        </w:rPr>
        <w:t>המנוח</w:t>
      </w:r>
      <w:r>
        <w:rPr>
          <w:rFonts w:ascii="David" w:hAnsi="David"/>
          <w:rtl/>
        </w:rPr>
        <w:t xml:space="preserve"> נפגש עם יועצת לגנטיקה בבית החולים וקיבל הסבר על הצורך בבירור גנטי לאחר הפסקת ההיריון.</w:t>
      </w:r>
    </w:p>
    <w:p w:rsidR="00706B6F" w:rsidRDefault="00706B6F" w:rsidP="00706B6F">
      <w:pPr>
        <w:spacing w:line="360" w:lineRule="auto"/>
        <w:ind w:left="714" w:hanging="630"/>
        <w:jc w:val="both"/>
        <w:rPr>
          <w:rFonts w:ascii="David" w:hAnsi="David"/>
          <w:rtl/>
        </w:rPr>
      </w:pPr>
    </w:p>
    <w:p w:rsidR="00706B6F" w:rsidRDefault="00706B6F" w:rsidP="00706B6F">
      <w:pPr>
        <w:spacing w:line="360" w:lineRule="auto"/>
        <w:ind w:left="714" w:hanging="630"/>
        <w:jc w:val="both"/>
        <w:rPr>
          <w:rFonts w:ascii="David" w:hAnsi="David"/>
          <w:rtl/>
        </w:rPr>
      </w:pPr>
      <w:r>
        <w:rPr>
          <w:rFonts w:ascii="David" w:hAnsi="David"/>
          <w:rtl/>
        </w:rPr>
        <w:t>4.</w:t>
      </w:r>
      <w:r>
        <w:rPr>
          <w:rFonts w:ascii="David" w:hAnsi="David"/>
          <w:rtl/>
        </w:rPr>
        <w:tab/>
        <w:t>היא החלה לבצע טיפולי פוריות לאחר מות בעלה המנוח אולם "...</w:t>
      </w:r>
      <w:r>
        <w:rPr>
          <w:rFonts w:ascii="David" w:hAnsi="David"/>
          <w:b/>
          <w:bCs/>
          <w:rtl/>
        </w:rPr>
        <w:t>רק לקראת הליך השאיבה נודע לה כי לצורך השימוש בזרע המנוח עליה לקבל את אישורו של בית המשפט</w:t>
      </w:r>
      <w:r>
        <w:rPr>
          <w:rFonts w:ascii="David" w:hAnsi="David"/>
          <w:rtl/>
        </w:rPr>
        <w:t>" ומכאן בקשתה.</w:t>
      </w:r>
    </w:p>
    <w:p w:rsidR="00706B6F" w:rsidRDefault="00706B6F" w:rsidP="00706B6F">
      <w:pPr>
        <w:spacing w:line="360" w:lineRule="auto"/>
        <w:ind w:left="714" w:hanging="630"/>
        <w:jc w:val="both"/>
        <w:rPr>
          <w:rFonts w:ascii="David" w:hAnsi="David"/>
          <w:rtl/>
        </w:rPr>
      </w:pPr>
    </w:p>
    <w:p w:rsidR="00706B6F" w:rsidRDefault="00706B6F" w:rsidP="00706B6F">
      <w:pPr>
        <w:spacing w:line="360" w:lineRule="auto"/>
        <w:ind w:left="714" w:hanging="630"/>
        <w:jc w:val="both"/>
        <w:rPr>
          <w:rFonts w:ascii="David" w:hAnsi="David"/>
          <w:b/>
          <w:bCs/>
          <w:sz w:val="26"/>
          <w:szCs w:val="26"/>
          <w:rtl/>
        </w:rPr>
      </w:pPr>
      <w:r>
        <w:rPr>
          <w:rFonts w:ascii="David" w:hAnsi="David"/>
          <w:b/>
          <w:bCs/>
          <w:sz w:val="26"/>
          <w:szCs w:val="26"/>
          <w:u w:val="single"/>
          <w:rtl/>
        </w:rPr>
        <w:t>עיקר טענות ב"כ היועמ"ש</w:t>
      </w:r>
      <w:r>
        <w:rPr>
          <w:rFonts w:ascii="David" w:hAnsi="David"/>
          <w:b/>
          <w:bCs/>
          <w:sz w:val="26"/>
          <w:szCs w:val="26"/>
          <w:rtl/>
        </w:rPr>
        <w:t>:</w:t>
      </w:r>
    </w:p>
    <w:p w:rsidR="00706B6F" w:rsidRDefault="00706B6F" w:rsidP="00706B6F">
      <w:pPr>
        <w:spacing w:line="360" w:lineRule="auto"/>
        <w:ind w:left="714" w:hanging="630"/>
        <w:jc w:val="both"/>
        <w:rPr>
          <w:rFonts w:ascii="David" w:hAnsi="David"/>
          <w:b/>
          <w:bCs/>
          <w:sz w:val="26"/>
          <w:szCs w:val="26"/>
          <w:rtl/>
        </w:rPr>
      </w:pPr>
    </w:p>
    <w:p w:rsidR="00706B6F" w:rsidRDefault="00706B6F" w:rsidP="00706B6F">
      <w:pPr>
        <w:spacing w:line="360" w:lineRule="auto"/>
        <w:ind w:left="714" w:hanging="630"/>
        <w:jc w:val="both"/>
        <w:rPr>
          <w:rFonts w:ascii="David" w:hAnsi="David"/>
          <w:rtl/>
        </w:rPr>
      </w:pPr>
      <w:r>
        <w:rPr>
          <w:rFonts w:ascii="David" w:hAnsi="David"/>
          <w:rtl/>
        </w:rPr>
        <w:t>5.</w:t>
      </w:r>
      <w:r>
        <w:rPr>
          <w:rFonts w:ascii="David" w:hAnsi="David"/>
          <w:rtl/>
        </w:rPr>
        <w:tab/>
        <w:t xml:space="preserve">ב"כ היועמ"ש הפנתה בתגובתה להנחיות </w:t>
      </w:r>
      <w:r>
        <w:rPr>
          <w:rFonts w:ascii="David" w:hAnsi="David" w:hint="cs"/>
          <w:rtl/>
        </w:rPr>
        <w:t xml:space="preserve">בעניין זה של </w:t>
      </w:r>
      <w:r>
        <w:rPr>
          <w:rFonts w:ascii="David" w:hAnsi="David"/>
          <w:rtl/>
        </w:rPr>
        <w:t>היועצת המשפטית לממשלה.  על בסיס הנחיות אלו ציינה "...</w:t>
      </w:r>
      <w:r>
        <w:rPr>
          <w:rFonts w:ascii="David" w:hAnsi="David"/>
          <w:b/>
          <w:bCs/>
          <w:rtl/>
        </w:rPr>
        <w:t>בבקשה של בת זוג של נפטר לעשיית שימוש בזרעו שניטל ממנו,</w:t>
      </w:r>
      <w:r>
        <w:rPr>
          <w:rFonts w:ascii="David" w:hAnsi="David"/>
          <w:rtl/>
        </w:rPr>
        <w:t xml:space="preserve"> ... </w:t>
      </w:r>
      <w:r>
        <w:rPr>
          <w:rFonts w:ascii="David" w:hAnsi="David"/>
          <w:b/>
          <w:bCs/>
          <w:rtl/>
        </w:rPr>
        <w:t>ניתן לעשות שימוש בזרע של המנוח על ידי בת זוגו שביקשה זאת, וזאת בשים לב לנסיבות המיוחדות של כל אחד ואחד מן המקרים על בסיס השיקולים המפורטים בהנחיה</w:t>
      </w:r>
      <w:r>
        <w:rPr>
          <w:rFonts w:ascii="David" w:hAnsi="David"/>
          <w:rtl/>
        </w:rPr>
        <w:t>".</w:t>
      </w:r>
    </w:p>
    <w:p w:rsidR="00706B6F" w:rsidRDefault="00706B6F" w:rsidP="00706B6F">
      <w:pPr>
        <w:spacing w:line="360" w:lineRule="auto"/>
        <w:ind w:left="714" w:hanging="630"/>
        <w:jc w:val="both"/>
        <w:rPr>
          <w:rFonts w:ascii="David" w:hAnsi="David"/>
          <w:rtl/>
        </w:rPr>
      </w:pPr>
    </w:p>
    <w:p w:rsidR="00706B6F" w:rsidRDefault="00706B6F" w:rsidP="00706B6F">
      <w:pPr>
        <w:spacing w:line="360" w:lineRule="auto"/>
        <w:ind w:left="714" w:hanging="630"/>
        <w:jc w:val="both"/>
        <w:rPr>
          <w:rFonts w:ascii="David" w:hAnsi="David"/>
          <w:rtl/>
        </w:rPr>
      </w:pPr>
      <w:r>
        <w:rPr>
          <w:rFonts w:ascii="David" w:hAnsi="David"/>
          <w:rtl/>
        </w:rPr>
        <w:t>6.</w:t>
      </w:r>
      <w:r>
        <w:rPr>
          <w:rFonts w:ascii="David" w:hAnsi="David"/>
          <w:rtl/>
        </w:rPr>
        <w:tab/>
        <w:t>בתגובתה פירטה באת כוחה של היועמ"ש את עיקר ההנחיות וצירפה עותק של הנחיות היועץ המשפטי – הנחיה 1.2202 מיום 27/10/2003 שכותרתה "</w:t>
      </w:r>
      <w:r>
        <w:rPr>
          <w:rFonts w:ascii="David" w:hAnsi="David"/>
          <w:u w:val="single"/>
          <w:rtl/>
        </w:rPr>
        <w:t>נטילת זרע לאחר המוות ושימוש בו</w:t>
      </w:r>
      <w:r>
        <w:rPr>
          <w:rFonts w:ascii="David" w:hAnsi="David"/>
          <w:rtl/>
        </w:rPr>
        <w:t>".</w:t>
      </w:r>
      <w:r>
        <w:rPr>
          <w:rFonts w:ascii="David" w:hAnsi="David" w:hint="cs"/>
          <w:rtl/>
        </w:rPr>
        <w:t xml:space="preserve"> </w:t>
      </w:r>
    </w:p>
    <w:p w:rsidR="00706B6F" w:rsidRDefault="00706B6F" w:rsidP="00706B6F">
      <w:pPr>
        <w:spacing w:line="360" w:lineRule="auto"/>
        <w:ind w:left="714" w:hanging="630"/>
        <w:jc w:val="both"/>
        <w:rPr>
          <w:rFonts w:ascii="David" w:hAnsi="David"/>
          <w:rtl/>
        </w:rPr>
      </w:pPr>
    </w:p>
    <w:p w:rsidR="00706B6F" w:rsidRDefault="00706B6F" w:rsidP="00706B6F">
      <w:pPr>
        <w:spacing w:line="360" w:lineRule="auto"/>
        <w:ind w:left="714" w:hanging="630"/>
        <w:jc w:val="both"/>
        <w:rPr>
          <w:rFonts w:ascii="David" w:hAnsi="David"/>
          <w:b/>
          <w:bCs/>
          <w:rtl/>
        </w:rPr>
      </w:pPr>
      <w:r>
        <w:rPr>
          <w:rFonts w:ascii="David" w:hAnsi="David"/>
          <w:rtl/>
        </w:rPr>
        <w:t>7.</w:t>
      </w:r>
      <w:r>
        <w:rPr>
          <w:rFonts w:ascii="David" w:hAnsi="David"/>
          <w:rtl/>
        </w:rPr>
        <w:tab/>
        <w:t xml:space="preserve">בהתייחסה לתיק </w:t>
      </w:r>
      <w:r>
        <w:rPr>
          <w:rFonts w:ascii="David" w:hAnsi="David" w:hint="cs"/>
          <w:rtl/>
        </w:rPr>
        <w:t xml:space="preserve">מושא החלטה זו </w:t>
      </w:r>
      <w:r>
        <w:rPr>
          <w:rFonts w:ascii="David" w:hAnsi="David"/>
          <w:rtl/>
        </w:rPr>
        <w:t xml:space="preserve">לאחר </w:t>
      </w:r>
      <w:r>
        <w:rPr>
          <w:rFonts w:ascii="David" w:hAnsi="David" w:hint="cs"/>
          <w:rtl/>
        </w:rPr>
        <w:t xml:space="preserve">שהביאה את </w:t>
      </w:r>
      <w:r>
        <w:rPr>
          <w:rFonts w:ascii="David" w:hAnsi="David"/>
          <w:rtl/>
        </w:rPr>
        <w:t>התיאור העובדתי שעלה מהבקשה סברה</w:t>
      </w:r>
      <w:r>
        <w:rPr>
          <w:rFonts w:ascii="David" w:hAnsi="David" w:hint="cs"/>
          <w:rtl/>
        </w:rPr>
        <w:t xml:space="preserve"> ב"כ היועמ"ש </w:t>
      </w:r>
      <w:r>
        <w:rPr>
          <w:rFonts w:ascii="David" w:hAnsi="David"/>
          <w:rtl/>
        </w:rPr>
        <w:t xml:space="preserve"> שיש להורות על קבלת תסקיר מטעם השירות למען הילד "...</w:t>
      </w:r>
      <w:r>
        <w:rPr>
          <w:rFonts w:ascii="David" w:hAnsi="David"/>
          <w:b/>
          <w:bCs/>
          <w:rtl/>
        </w:rPr>
        <w:t xml:space="preserve">המשמש כלי יעיל לשם התחקות אחר רצון הנפטר </w:t>
      </w:r>
      <w:r>
        <w:rPr>
          <w:rFonts w:ascii="David" w:hAnsi="David"/>
          <w:rtl/>
        </w:rPr>
        <w:t>...</w:t>
      </w:r>
      <w:r>
        <w:rPr>
          <w:rFonts w:ascii="David" w:hAnsi="David"/>
          <w:b/>
          <w:bCs/>
          <w:rtl/>
        </w:rPr>
        <w:t xml:space="preserve"> יש בו כדי ללמוד על רצונה האמיתי של בת הזוג, שכן על בית המשפט להשתכנע כי המדובר ברצון כן חופשי ואמיתי, ושהיא אינה נתונה ללחצים ולהשפעות, אשר מאפילים על שיקול דעתה העצמאי וכן כי הסכמתה מדעת-מלאה ברורה ועצמאית- לביצוע הטיפולים הכרוכים בכך".</w:t>
      </w:r>
    </w:p>
    <w:p w:rsidR="00706B6F" w:rsidRDefault="00706B6F" w:rsidP="00706B6F">
      <w:pPr>
        <w:spacing w:line="360" w:lineRule="auto"/>
        <w:ind w:left="714" w:hanging="630"/>
        <w:jc w:val="both"/>
        <w:rPr>
          <w:rFonts w:ascii="David" w:hAnsi="David"/>
          <w:b/>
          <w:bCs/>
          <w:rtl/>
        </w:rPr>
      </w:pPr>
    </w:p>
    <w:p w:rsidR="00706B6F" w:rsidRDefault="00706B6F" w:rsidP="00706B6F">
      <w:pPr>
        <w:spacing w:line="360" w:lineRule="auto"/>
        <w:ind w:left="714" w:hanging="630"/>
        <w:jc w:val="both"/>
        <w:rPr>
          <w:rFonts w:ascii="David" w:hAnsi="David"/>
          <w:rtl/>
        </w:rPr>
      </w:pPr>
      <w:r>
        <w:rPr>
          <w:rFonts w:ascii="David" w:hAnsi="David"/>
          <w:rtl/>
        </w:rPr>
        <w:tab/>
        <w:t xml:space="preserve">עוד סברה שבמסגרת אותו תסקיר </w:t>
      </w:r>
      <w:r>
        <w:rPr>
          <w:rFonts w:ascii="David" w:hAnsi="David" w:hint="cs"/>
          <w:rtl/>
        </w:rPr>
        <w:t xml:space="preserve">ראוי </w:t>
      </w:r>
      <w:r>
        <w:rPr>
          <w:rFonts w:ascii="David" w:hAnsi="David"/>
          <w:rtl/>
        </w:rPr>
        <w:t>ש"...</w:t>
      </w:r>
      <w:r>
        <w:rPr>
          <w:rFonts w:ascii="David" w:hAnsi="David"/>
          <w:b/>
          <w:bCs/>
          <w:rtl/>
        </w:rPr>
        <w:t>גם  תשמע עמדתם של הורי המנוח ביחס לבקשה</w:t>
      </w:r>
      <w:r>
        <w:rPr>
          <w:rFonts w:ascii="David" w:hAnsi="David"/>
          <w:rtl/>
        </w:rPr>
        <w:t>".</w:t>
      </w:r>
    </w:p>
    <w:p w:rsidR="00706B6F" w:rsidRDefault="00706B6F" w:rsidP="00706B6F">
      <w:pPr>
        <w:spacing w:line="360" w:lineRule="auto"/>
        <w:ind w:left="714" w:hanging="630"/>
        <w:jc w:val="both"/>
        <w:rPr>
          <w:rFonts w:ascii="David" w:hAnsi="David"/>
          <w:rtl/>
        </w:rPr>
      </w:pPr>
    </w:p>
    <w:p w:rsidR="00706B6F" w:rsidRDefault="00706B6F" w:rsidP="00706B6F">
      <w:pPr>
        <w:spacing w:line="360" w:lineRule="auto"/>
        <w:ind w:left="714" w:hanging="630"/>
        <w:jc w:val="both"/>
        <w:rPr>
          <w:rFonts w:ascii="David" w:hAnsi="David"/>
          <w:b/>
          <w:bCs/>
          <w:sz w:val="26"/>
          <w:szCs w:val="26"/>
          <w:rtl/>
        </w:rPr>
      </w:pPr>
      <w:r>
        <w:rPr>
          <w:rFonts w:ascii="David" w:hAnsi="David"/>
          <w:b/>
          <w:bCs/>
          <w:sz w:val="26"/>
          <w:szCs w:val="26"/>
          <w:u w:val="single"/>
          <w:rtl/>
        </w:rPr>
        <w:t>מענה מטעם המבקשת</w:t>
      </w:r>
      <w:r>
        <w:rPr>
          <w:rFonts w:ascii="David" w:hAnsi="David"/>
          <w:b/>
          <w:bCs/>
          <w:sz w:val="26"/>
          <w:szCs w:val="26"/>
          <w:rtl/>
        </w:rPr>
        <w:t>:</w:t>
      </w:r>
    </w:p>
    <w:p w:rsidR="00706B6F" w:rsidRDefault="00706B6F" w:rsidP="00706B6F">
      <w:pPr>
        <w:spacing w:line="360" w:lineRule="auto"/>
        <w:ind w:left="714" w:hanging="630"/>
        <w:jc w:val="both"/>
        <w:rPr>
          <w:rFonts w:ascii="David" w:hAnsi="David"/>
          <w:b/>
          <w:bCs/>
          <w:sz w:val="26"/>
          <w:szCs w:val="26"/>
          <w:rtl/>
        </w:rPr>
      </w:pPr>
    </w:p>
    <w:p w:rsidR="00706B6F" w:rsidRDefault="00706B6F" w:rsidP="00706B6F">
      <w:pPr>
        <w:spacing w:line="360" w:lineRule="auto"/>
        <w:ind w:left="714" w:hanging="630"/>
        <w:jc w:val="both"/>
        <w:rPr>
          <w:rFonts w:ascii="David" w:hAnsi="David"/>
          <w:rtl/>
        </w:rPr>
      </w:pPr>
      <w:r>
        <w:rPr>
          <w:rFonts w:ascii="David" w:hAnsi="David"/>
          <w:rtl/>
        </w:rPr>
        <w:t>8.</w:t>
      </w:r>
      <w:r>
        <w:rPr>
          <w:rFonts w:ascii="David" w:hAnsi="David"/>
          <w:rtl/>
        </w:rPr>
        <w:tab/>
        <w:t xml:space="preserve">בתשובתה לתגובת באת כוחה של היועמ"ש טענה המבקשת שיש דחיפות במתן האישור אף ללא תסקיר שהכנתו אורכת חודשיים שלושה: היא בת 44.6 והתמהמהות עשויה "... </w:t>
      </w:r>
      <w:r>
        <w:rPr>
          <w:rFonts w:ascii="David" w:hAnsi="David"/>
          <w:b/>
          <w:bCs/>
          <w:u w:val="single"/>
          <w:rtl/>
        </w:rPr>
        <w:t>להכריע את גורלה של המבקשת שלא להותיר צאצאים לבעלה המנוח, אלא גם שלא להוליד כלל</w:t>
      </w:r>
      <w:r>
        <w:rPr>
          <w:rFonts w:ascii="David" w:hAnsi="David"/>
          <w:rtl/>
        </w:rPr>
        <w:t xml:space="preserve">, </w:t>
      </w:r>
      <w:r>
        <w:rPr>
          <w:rFonts w:ascii="David" w:hAnsi="David"/>
          <w:b/>
          <w:bCs/>
          <w:rtl/>
        </w:rPr>
        <w:t>ובכך למעשה כל ההליך המשפטי יהיה לשווא</w:t>
      </w:r>
      <w:r>
        <w:rPr>
          <w:rFonts w:ascii="David" w:hAnsi="David"/>
          <w:rtl/>
        </w:rPr>
        <w:t>"  (הדגש בקו תחתי במקור).</w:t>
      </w:r>
    </w:p>
    <w:p w:rsidR="00706B6F" w:rsidRDefault="00706B6F" w:rsidP="00706B6F">
      <w:pPr>
        <w:spacing w:line="360" w:lineRule="auto"/>
        <w:ind w:left="714" w:hanging="630"/>
        <w:jc w:val="both"/>
        <w:rPr>
          <w:rFonts w:ascii="David" w:hAnsi="David"/>
          <w:rtl/>
        </w:rPr>
      </w:pPr>
      <w:r>
        <w:rPr>
          <w:rFonts w:ascii="David" w:hAnsi="David"/>
          <w:rtl/>
        </w:rPr>
        <w:t>9.</w:t>
      </w:r>
      <w:r>
        <w:rPr>
          <w:rFonts w:ascii="David" w:hAnsi="David"/>
          <w:rtl/>
        </w:rPr>
        <w:tab/>
        <w:t xml:space="preserve">המבקשת הפנתה לסעיפים 28-27 להנחיות היועצת המשפטית וסברה שמכוחם אין מקום להורות על עריכת תסקיר: מדובר בבני זוג להם אלו נישואים ראשונים אשר ביצעו טיפולי </w:t>
      </w:r>
      <w:r>
        <w:rPr>
          <w:rFonts w:ascii="David" w:hAnsi="David"/>
          <w:rtl/>
        </w:rPr>
        <w:lastRenderedPageBreak/>
        <w:t xml:space="preserve">פוריות, מה שמעיד על רצונו. כך, חתימתו על " כרטיס שומר זרע" מעידה על רצונו להשאיר צאצא, גם לאחר פטירתו. </w:t>
      </w:r>
    </w:p>
    <w:p w:rsidR="00706B6F" w:rsidRDefault="00706B6F" w:rsidP="00706B6F">
      <w:pPr>
        <w:spacing w:line="360" w:lineRule="auto"/>
        <w:ind w:left="714" w:hanging="630"/>
        <w:jc w:val="both"/>
        <w:rPr>
          <w:rFonts w:ascii="David" w:hAnsi="David"/>
          <w:rtl/>
        </w:rPr>
      </w:pPr>
    </w:p>
    <w:p w:rsidR="00706B6F" w:rsidRDefault="00706B6F" w:rsidP="00706B6F">
      <w:pPr>
        <w:spacing w:line="360" w:lineRule="auto"/>
        <w:ind w:left="714"/>
        <w:jc w:val="both"/>
        <w:rPr>
          <w:rFonts w:ascii="David" w:hAnsi="David"/>
          <w:rtl/>
        </w:rPr>
      </w:pPr>
      <w:r>
        <w:rPr>
          <w:rFonts w:ascii="David" w:hAnsi="David"/>
          <w:rtl/>
        </w:rPr>
        <w:t>זאת, ועוד. המנוח פעל באופן אקטיבי המעיד על רצונו. המבקשת הפנתה בהקשר זה למסמך שצורף מבית החולים בילינסון "עדכון תיק ללא מטופל" (סיכום הייעוץ עם המומחית לגנטיקה שהוזכר לעיל) והפנתה לכך שהמנוח "</w:t>
      </w:r>
      <w:r>
        <w:rPr>
          <w:rFonts w:ascii="David" w:hAnsi="David"/>
          <w:b/>
          <w:bCs/>
          <w:rtl/>
        </w:rPr>
        <w:t>בן זוגה של ד. ל., הגיע למכון הגנטי</w:t>
      </w:r>
      <w:r>
        <w:rPr>
          <w:rFonts w:ascii="David" w:hAnsi="David"/>
          <w:rtl/>
        </w:rPr>
        <w:t>..." ובפרק ההמלצות נכתב "</w:t>
      </w:r>
      <w:r>
        <w:rPr>
          <w:rFonts w:ascii="David" w:hAnsi="David"/>
          <w:b/>
          <w:bCs/>
          <w:rtl/>
        </w:rPr>
        <w:t>ל. מסר כי מעוניין בביצוע הבדיקה בהשארת פיקדון ומעוניין בשמירת דגימת דנא</w:t>
      </w:r>
      <w:r>
        <w:rPr>
          <w:rFonts w:ascii="David" w:hAnsi="David"/>
          <w:rtl/>
        </w:rPr>
        <w:t>".</w:t>
      </w:r>
    </w:p>
    <w:p w:rsidR="00706B6F" w:rsidRDefault="00706B6F" w:rsidP="00706B6F">
      <w:pPr>
        <w:spacing w:line="360" w:lineRule="auto"/>
        <w:ind w:left="714"/>
        <w:jc w:val="both"/>
        <w:rPr>
          <w:rFonts w:ascii="David" w:hAnsi="David"/>
          <w:rtl/>
        </w:rPr>
      </w:pPr>
    </w:p>
    <w:p w:rsidR="00706B6F" w:rsidRDefault="00706B6F" w:rsidP="00706B6F">
      <w:pPr>
        <w:spacing w:line="360" w:lineRule="auto"/>
        <w:ind w:left="84"/>
        <w:jc w:val="both"/>
        <w:rPr>
          <w:rFonts w:ascii="David" w:hAnsi="David"/>
          <w:b/>
          <w:bCs/>
          <w:sz w:val="26"/>
          <w:szCs w:val="26"/>
          <w:rtl/>
        </w:rPr>
      </w:pPr>
      <w:r>
        <w:rPr>
          <w:rFonts w:ascii="David" w:hAnsi="David"/>
          <w:b/>
          <w:bCs/>
          <w:sz w:val="26"/>
          <w:szCs w:val="26"/>
          <w:u w:val="single"/>
          <w:rtl/>
        </w:rPr>
        <w:t>ההליך</w:t>
      </w:r>
      <w:r>
        <w:rPr>
          <w:rFonts w:ascii="David" w:hAnsi="David"/>
          <w:b/>
          <w:bCs/>
          <w:sz w:val="26"/>
          <w:szCs w:val="26"/>
          <w:rtl/>
        </w:rPr>
        <w:t xml:space="preserve">: </w:t>
      </w:r>
    </w:p>
    <w:p w:rsidR="00706B6F" w:rsidRDefault="00706B6F" w:rsidP="00706B6F">
      <w:pPr>
        <w:spacing w:line="360" w:lineRule="auto"/>
        <w:ind w:left="84"/>
        <w:jc w:val="both"/>
        <w:rPr>
          <w:rFonts w:ascii="David" w:hAnsi="David"/>
          <w:b/>
          <w:bCs/>
          <w:sz w:val="26"/>
          <w:szCs w:val="26"/>
          <w:rtl/>
        </w:rPr>
      </w:pPr>
    </w:p>
    <w:p w:rsidR="00706B6F" w:rsidRDefault="00706B6F" w:rsidP="00706B6F">
      <w:pPr>
        <w:spacing w:line="360" w:lineRule="auto"/>
        <w:ind w:left="84"/>
        <w:jc w:val="both"/>
        <w:rPr>
          <w:rFonts w:ascii="David" w:hAnsi="David"/>
          <w:rtl/>
        </w:rPr>
      </w:pPr>
      <w:r>
        <w:rPr>
          <w:rFonts w:ascii="David" w:hAnsi="David"/>
          <w:rtl/>
        </w:rPr>
        <w:t>10.</w:t>
      </w:r>
      <w:r>
        <w:rPr>
          <w:rFonts w:ascii="David" w:hAnsi="David"/>
          <w:rtl/>
        </w:rPr>
        <w:tab/>
        <w:t>בשים לב לקוטביות הטענות נקבע התיק לדיון וזה התקיים ביום 29/1/2024.</w:t>
      </w:r>
    </w:p>
    <w:p w:rsidR="00706B6F" w:rsidRDefault="00706B6F" w:rsidP="00706B6F">
      <w:pPr>
        <w:spacing w:line="360" w:lineRule="auto"/>
        <w:ind w:left="84"/>
        <w:jc w:val="both"/>
        <w:rPr>
          <w:rFonts w:ascii="David" w:hAnsi="David"/>
          <w:rtl/>
        </w:rPr>
      </w:pPr>
    </w:p>
    <w:p w:rsidR="00706B6F" w:rsidRDefault="00706B6F" w:rsidP="00706B6F">
      <w:pPr>
        <w:spacing w:line="360" w:lineRule="auto"/>
        <w:ind w:left="84"/>
        <w:jc w:val="both"/>
        <w:rPr>
          <w:rFonts w:ascii="David" w:hAnsi="David"/>
          <w:rtl/>
        </w:rPr>
      </w:pPr>
      <w:r>
        <w:rPr>
          <w:rFonts w:ascii="David" w:hAnsi="David"/>
          <w:rtl/>
        </w:rPr>
        <w:t>11.</w:t>
      </w:r>
      <w:r>
        <w:rPr>
          <w:rFonts w:ascii="David" w:hAnsi="David"/>
          <w:rtl/>
        </w:rPr>
        <w:tab/>
        <w:t xml:space="preserve">ככלל, חזרו הצדדים על עמדותיהם גם בדיון. </w:t>
      </w:r>
    </w:p>
    <w:p w:rsidR="00706B6F" w:rsidRDefault="00706B6F" w:rsidP="00706B6F">
      <w:pPr>
        <w:spacing w:line="360" w:lineRule="auto"/>
        <w:ind w:left="84"/>
        <w:jc w:val="both"/>
        <w:rPr>
          <w:rFonts w:ascii="David" w:hAnsi="David"/>
          <w:rtl/>
        </w:rPr>
      </w:pPr>
    </w:p>
    <w:p w:rsidR="00706B6F" w:rsidRDefault="00706B6F" w:rsidP="00706B6F">
      <w:pPr>
        <w:spacing w:line="360" w:lineRule="auto"/>
        <w:ind w:left="84"/>
        <w:jc w:val="both"/>
        <w:rPr>
          <w:rFonts w:ascii="David" w:hAnsi="David"/>
          <w:b/>
          <w:bCs/>
          <w:rtl/>
        </w:rPr>
      </w:pPr>
      <w:r>
        <w:rPr>
          <w:rFonts w:ascii="David" w:hAnsi="David"/>
          <w:rtl/>
        </w:rPr>
        <w:tab/>
      </w:r>
      <w:r>
        <w:rPr>
          <w:rFonts w:ascii="David" w:hAnsi="David"/>
          <w:u w:val="single"/>
          <w:rtl/>
        </w:rPr>
        <w:t>טענה באת כוחה של היועמ"ש</w:t>
      </w:r>
      <w:r>
        <w:rPr>
          <w:rFonts w:ascii="David" w:hAnsi="David"/>
          <w:b/>
          <w:bCs/>
          <w:rtl/>
        </w:rPr>
        <w:t>:</w:t>
      </w:r>
    </w:p>
    <w:p w:rsidR="00706B6F" w:rsidRDefault="00706B6F" w:rsidP="00706B6F">
      <w:pPr>
        <w:spacing w:line="360" w:lineRule="auto"/>
        <w:ind w:left="84"/>
        <w:jc w:val="both"/>
        <w:rPr>
          <w:rFonts w:ascii="David" w:hAnsi="David"/>
          <w:b/>
          <w:bCs/>
          <w:rtl/>
        </w:rPr>
      </w:pPr>
    </w:p>
    <w:p w:rsidR="00706B6F" w:rsidRDefault="00706B6F" w:rsidP="00706B6F">
      <w:pPr>
        <w:spacing w:line="360" w:lineRule="auto"/>
        <w:ind w:left="720"/>
        <w:jc w:val="both"/>
        <w:rPr>
          <w:rFonts w:ascii="David" w:hAnsi="David"/>
          <w:rtl/>
        </w:rPr>
      </w:pPr>
      <w:r>
        <w:rPr>
          <w:rFonts w:ascii="David" w:hAnsi="David"/>
          <w:rtl/>
        </w:rPr>
        <w:t>"</w:t>
      </w:r>
      <w:r>
        <w:rPr>
          <w:rFonts w:ascii="David" w:hAnsi="David"/>
          <w:b/>
          <w:bCs/>
          <w:rtl/>
        </w:rPr>
        <w:t>קראתי את התגובה של התובעת ומודעים לנסיבות התיק וגם לדחיפות. אנחנו מבקשים להורות על עריכת תסקיר מטעם השירות למען הילד. אנו סבורים שתסקיר יאפשר לראות תמונה מלאה ומדויקת יותר, הן ביחס לרצון הנפטר וביחס לרצונה של המבקשת כדי לראות שלא נתונה ללחצים. אנחנו רוצים לשמוע את המבקשת וגם את אם המנוח. רוצים לדעת מה היה בין התקופה שהיה לו כרטיס שומר זרע לבין פטירתו. ... אנחנו יכולים להגיש תסקיר בתוך חודשיים</w:t>
      </w:r>
      <w:r>
        <w:rPr>
          <w:rFonts w:ascii="David" w:hAnsi="David"/>
          <w:rtl/>
        </w:rPr>
        <w:t xml:space="preserve">." </w:t>
      </w:r>
    </w:p>
    <w:p w:rsidR="00706B6F" w:rsidRDefault="00706B6F" w:rsidP="00706B6F">
      <w:pPr>
        <w:spacing w:line="360" w:lineRule="auto"/>
        <w:ind w:left="720"/>
        <w:jc w:val="both"/>
        <w:rPr>
          <w:rFonts w:ascii="David" w:hAnsi="David"/>
          <w:rtl/>
        </w:rPr>
      </w:pPr>
    </w:p>
    <w:p w:rsidR="00706B6F" w:rsidRDefault="00706B6F" w:rsidP="00706B6F">
      <w:pPr>
        <w:spacing w:line="360" w:lineRule="auto"/>
        <w:ind w:left="720"/>
        <w:jc w:val="both"/>
        <w:rPr>
          <w:rFonts w:ascii="David" w:hAnsi="David"/>
          <w:b/>
          <w:bCs/>
          <w:rtl/>
        </w:rPr>
      </w:pPr>
      <w:r>
        <w:rPr>
          <w:rFonts w:ascii="David" w:hAnsi="David"/>
          <w:u w:val="single"/>
          <w:rtl/>
        </w:rPr>
        <w:t>טענה באת כוחה של המבקשת</w:t>
      </w:r>
      <w:r>
        <w:rPr>
          <w:rFonts w:ascii="David" w:hAnsi="David"/>
          <w:b/>
          <w:bCs/>
          <w:rtl/>
        </w:rPr>
        <w:t>:</w:t>
      </w:r>
    </w:p>
    <w:p w:rsidR="00706B6F" w:rsidRDefault="00706B6F" w:rsidP="00706B6F">
      <w:pPr>
        <w:spacing w:line="360" w:lineRule="auto"/>
        <w:ind w:left="720"/>
        <w:jc w:val="both"/>
        <w:rPr>
          <w:rFonts w:ascii="David" w:hAnsi="David"/>
          <w:b/>
          <w:bCs/>
          <w:rtl/>
        </w:rPr>
      </w:pPr>
    </w:p>
    <w:p w:rsidR="00706B6F" w:rsidRDefault="00706B6F" w:rsidP="00706B6F">
      <w:pPr>
        <w:spacing w:line="360" w:lineRule="auto"/>
        <w:ind w:left="720"/>
        <w:jc w:val="both"/>
        <w:rPr>
          <w:rFonts w:ascii="David" w:hAnsi="David"/>
          <w:b/>
          <w:bCs/>
          <w:rtl/>
        </w:rPr>
      </w:pPr>
      <w:r>
        <w:rPr>
          <w:rFonts w:ascii="David" w:hAnsi="David"/>
          <w:rtl/>
        </w:rPr>
        <w:t>"</w:t>
      </w:r>
      <w:r>
        <w:rPr>
          <w:rFonts w:ascii="David" w:hAnsi="David"/>
          <w:b/>
          <w:bCs/>
          <w:rtl/>
        </w:rPr>
        <w:t xml:space="preserve">גם בעמדת היועמ"ש, לשון ההנחיה היא "ראוי" בסעיף 28 כלומר זה לא חובה. כשבוחנים את הרציונאל בניסוח ההנחיות, הרי רואים שמטרת התסקיר היא "כלי יעיל לשם התחקות אחר רצון הנפטר וחשוב מכך ללמד על רצונה האמיתי של בת הזוג, רצון כן, חופשי ואמיתי". כשבוחנים את העובדות רואים שמדובר בזוג נשוי ללא ילדים, שפעלו וביצעו טיפולי פוריות גם לפני פטירת המנוח. לאחר גילוי מחלת הסרטן בשנת 2017 הביע רצונו לשימוש בזרע. גם בשלב חמור יותר של המחלה בשנת 2021 הם ביצעו בפועל טיפולים ועל הרצון שלו שהוא בעצמו באופן עצמאי ואקטיבי, ניגש לבירור ואישר שהוא מעוניין בביצוע הבדיקה בשנת 2021 לפני פטירתו. </w:t>
      </w:r>
    </w:p>
    <w:p w:rsidR="00706B6F" w:rsidRDefault="00706B6F" w:rsidP="00706B6F">
      <w:pPr>
        <w:spacing w:line="360" w:lineRule="auto"/>
        <w:ind w:left="720"/>
        <w:jc w:val="both"/>
        <w:rPr>
          <w:rFonts w:ascii="David" w:hAnsi="David"/>
          <w:b/>
          <w:bCs/>
          <w:rtl/>
        </w:rPr>
      </w:pPr>
      <w:r>
        <w:rPr>
          <w:rFonts w:ascii="David" w:hAnsi="David"/>
          <w:b/>
          <w:bCs/>
          <w:rtl/>
        </w:rPr>
        <w:t xml:space="preserve">בנושא רצונה של המבקשת, גם בבחינת ההנחיות של היועמ"ש, רואים שכל מה שנותר זה לוודא הרצון האמיתי שלה וגם על זה למדים באופן שבו הם פעלו עובר לפטירת המנוח. גם לאחר פטירת המנוח היא פעלה בעצמה והחלה בטיפולי פוריות שהופסקו כי ביה"ח בטעות סבר שאין צורך באישור ביהמ"ש וממש לפני הליך ההחזרה, ביה"ח עצר את ההחזרה. </w:t>
      </w:r>
    </w:p>
    <w:p w:rsidR="00706B6F" w:rsidRDefault="00706B6F" w:rsidP="00706B6F">
      <w:pPr>
        <w:spacing w:line="360" w:lineRule="auto"/>
        <w:ind w:left="720"/>
        <w:jc w:val="both"/>
        <w:rPr>
          <w:rFonts w:ascii="David" w:hAnsi="David"/>
          <w:b/>
          <w:bCs/>
          <w:rtl/>
        </w:rPr>
      </w:pPr>
      <w:r>
        <w:rPr>
          <w:rFonts w:ascii="David" w:hAnsi="David"/>
          <w:b/>
          <w:bCs/>
          <w:rtl/>
        </w:rPr>
        <w:lastRenderedPageBreak/>
        <w:t xml:space="preserve">גם חודשיים וככל שיבקשו עוד הארכות, זה זמן יקר כשמדובר בפוריות של אישה בת מעל 44, נושקת ל-45 וכל יום הוא קריטי. כאשר היא תגיע לגיל 45 לא יהיה לה הליווי של קופת החולים מבחינה כספית והרבה מומחים רפואיים לא יסכימו ללוות אותה ואז כל הבקשה עלולה להתייתר. </w:t>
      </w:r>
    </w:p>
    <w:p w:rsidR="00706B6F" w:rsidRDefault="00706B6F" w:rsidP="00706B6F">
      <w:pPr>
        <w:spacing w:line="360" w:lineRule="auto"/>
        <w:ind w:firstLine="720"/>
        <w:jc w:val="both"/>
        <w:rPr>
          <w:rFonts w:ascii="David" w:hAnsi="David"/>
          <w:rtl/>
        </w:rPr>
      </w:pPr>
      <w:r>
        <w:rPr>
          <w:rFonts w:ascii="David" w:hAnsi="David"/>
          <w:b/>
          <w:bCs/>
          <w:rtl/>
        </w:rPr>
        <w:t xml:space="preserve">המבקשת לפנינו ואפשר לחקור אותה ולעמוד אחר רצונה. </w:t>
      </w:r>
      <w:r>
        <w:rPr>
          <w:rFonts w:ascii="David" w:hAnsi="David"/>
          <w:rtl/>
        </w:rPr>
        <w:t>"</w:t>
      </w:r>
    </w:p>
    <w:p w:rsidR="00706B6F" w:rsidRDefault="00706B6F" w:rsidP="00706B6F">
      <w:pPr>
        <w:spacing w:line="360" w:lineRule="auto"/>
        <w:ind w:firstLine="720"/>
        <w:jc w:val="both"/>
        <w:rPr>
          <w:rFonts w:ascii="David" w:hAnsi="David"/>
          <w:rtl/>
        </w:rPr>
      </w:pPr>
    </w:p>
    <w:p w:rsidR="00706B6F" w:rsidRDefault="00706B6F" w:rsidP="00706B6F">
      <w:pPr>
        <w:spacing w:line="360" w:lineRule="auto"/>
        <w:ind w:firstLine="720"/>
        <w:jc w:val="both"/>
        <w:rPr>
          <w:rFonts w:ascii="David" w:hAnsi="David"/>
          <w:b/>
          <w:bCs/>
          <w:rtl/>
        </w:rPr>
      </w:pPr>
      <w:r>
        <w:rPr>
          <w:rFonts w:ascii="David" w:hAnsi="David"/>
          <w:u w:val="single"/>
          <w:rtl/>
        </w:rPr>
        <w:t>הוסיפה המבקשת</w:t>
      </w:r>
      <w:r>
        <w:rPr>
          <w:rFonts w:ascii="David" w:hAnsi="David"/>
          <w:rtl/>
        </w:rPr>
        <w:t>:</w:t>
      </w:r>
      <w:r>
        <w:rPr>
          <w:rFonts w:ascii="David" w:hAnsi="David"/>
          <w:b/>
          <w:bCs/>
          <w:rtl/>
        </w:rPr>
        <w:t xml:space="preserve"> </w:t>
      </w:r>
    </w:p>
    <w:p w:rsidR="00706B6F" w:rsidRDefault="00706B6F" w:rsidP="00706B6F">
      <w:pPr>
        <w:spacing w:line="360" w:lineRule="auto"/>
        <w:ind w:firstLine="720"/>
        <w:jc w:val="both"/>
        <w:rPr>
          <w:rFonts w:ascii="David" w:hAnsi="David"/>
          <w:b/>
          <w:bCs/>
          <w:rtl/>
        </w:rPr>
      </w:pPr>
    </w:p>
    <w:p w:rsidR="00706B6F" w:rsidRDefault="00706B6F" w:rsidP="00706B6F">
      <w:pPr>
        <w:spacing w:line="360" w:lineRule="auto"/>
        <w:ind w:left="720"/>
        <w:jc w:val="both"/>
        <w:rPr>
          <w:rFonts w:ascii="David" w:hAnsi="David"/>
          <w:b/>
          <w:bCs/>
          <w:rtl/>
        </w:rPr>
      </w:pPr>
      <w:r>
        <w:rPr>
          <w:rFonts w:ascii="David" w:hAnsi="David"/>
          <w:rtl/>
        </w:rPr>
        <w:t>"</w:t>
      </w:r>
      <w:r>
        <w:rPr>
          <w:rFonts w:ascii="David" w:hAnsi="David"/>
          <w:b/>
          <w:bCs/>
          <w:rtl/>
        </w:rPr>
        <w:t xml:space="preserve">אף אחד לא מבקש ממני או מאיים עליי, זה רצון חופשי שלי, זה החלום של בעלי ושלי שיהיו לנו ילדים, בשביל זה התחתנו. ניסינו להיכנס להיריון, היו לנו טיפולי פוריות וזה מה שאני רוצה ממני, זה הדבר היחיד שאני רוצה, שתהיה לו המשכיות. זה משהו שקרוב לליבי ומשהו שאני מאוד מאוד רוצה. זה בא ממני. אני רוצה להגשים את החלום שלי בתור אישה ולתת לו להיות אבא (נרגשת). </w:t>
      </w:r>
    </w:p>
    <w:p w:rsidR="00706B6F" w:rsidRDefault="00706B6F" w:rsidP="00706B6F">
      <w:pPr>
        <w:spacing w:line="360" w:lineRule="auto"/>
        <w:ind w:firstLine="720"/>
        <w:jc w:val="both"/>
        <w:rPr>
          <w:rFonts w:ascii="David" w:hAnsi="David"/>
          <w:b/>
          <w:bCs/>
          <w:rtl/>
        </w:rPr>
      </w:pPr>
      <w:r>
        <w:rPr>
          <w:rFonts w:ascii="David" w:hAnsi="David"/>
          <w:b/>
          <w:bCs/>
          <w:rtl/>
        </w:rPr>
        <w:t>אני בקשר עם אימא שלו, כרגע לא ממש, לא דיברנו תקופה. עם האחיות פחות.</w:t>
      </w:r>
      <w:r>
        <w:rPr>
          <w:rFonts w:ascii="David" w:hAnsi="David"/>
          <w:rtl/>
        </w:rPr>
        <w:t>"</w:t>
      </w:r>
    </w:p>
    <w:p w:rsidR="00706B6F" w:rsidRDefault="00706B6F" w:rsidP="00706B6F">
      <w:pPr>
        <w:spacing w:line="360" w:lineRule="auto"/>
        <w:ind w:firstLine="720"/>
        <w:jc w:val="both"/>
        <w:rPr>
          <w:rFonts w:ascii="David" w:hAnsi="David"/>
          <w:b/>
          <w:bCs/>
          <w:rtl/>
        </w:rPr>
      </w:pPr>
    </w:p>
    <w:p w:rsidR="00706B6F" w:rsidRDefault="00706B6F" w:rsidP="00706B6F">
      <w:pPr>
        <w:spacing w:line="360" w:lineRule="auto"/>
        <w:ind w:left="84"/>
        <w:jc w:val="both"/>
        <w:rPr>
          <w:rFonts w:ascii="David" w:hAnsi="David"/>
          <w:b/>
          <w:bCs/>
          <w:sz w:val="26"/>
          <w:szCs w:val="26"/>
          <w:rtl/>
        </w:rPr>
      </w:pPr>
      <w:r>
        <w:rPr>
          <w:rFonts w:ascii="David" w:hAnsi="David"/>
          <w:b/>
          <w:bCs/>
          <w:sz w:val="26"/>
          <w:szCs w:val="26"/>
          <w:u w:val="single"/>
          <w:rtl/>
        </w:rPr>
        <w:t>דיון והכרעה</w:t>
      </w:r>
      <w:r>
        <w:rPr>
          <w:rFonts w:ascii="David" w:hAnsi="David"/>
          <w:b/>
          <w:bCs/>
          <w:sz w:val="26"/>
          <w:szCs w:val="26"/>
          <w:rtl/>
        </w:rPr>
        <w:t xml:space="preserve">: </w:t>
      </w:r>
    </w:p>
    <w:p w:rsidR="00706B6F" w:rsidRDefault="00706B6F" w:rsidP="00706B6F">
      <w:pPr>
        <w:spacing w:line="360" w:lineRule="auto"/>
        <w:ind w:left="84"/>
        <w:jc w:val="both"/>
        <w:rPr>
          <w:rFonts w:ascii="David" w:hAnsi="David"/>
          <w:b/>
          <w:bCs/>
          <w:sz w:val="26"/>
          <w:szCs w:val="26"/>
          <w:rtl/>
        </w:rPr>
      </w:pPr>
    </w:p>
    <w:p w:rsidR="00706B6F" w:rsidRDefault="00706B6F" w:rsidP="00706B6F">
      <w:pPr>
        <w:spacing w:line="360" w:lineRule="auto"/>
        <w:ind w:left="714" w:hanging="630"/>
        <w:jc w:val="both"/>
        <w:rPr>
          <w:rFonts w:ascii="David" w:hAnsi="David"/>
          <w:rtl/>
        </w:rPr>
      </w:pPr>
      <w:r>
        <w:rPr>
          <w:rFonts w:ascii="David" w:hAnsi="David"/>
          <w:rtl/>
        </w:rPr>
        <w:t>12.</w:t>
      </w:r>
      <w:r>
        <w:rPr>
          <w:rFonts w:ascii="David" w:hAnsi="David"/>
          <w:rtl/>
        </w:rPr>
        <w:tab/>
        <w:t xml:space="preserve">לאחר ששמעתי את הצדדים וצפיתי במבקשת עצמה בדברה </w:t>
      </w:r>
      <w:r>
        <w:rPr>
          <w:rFonts w:ascii="David" w:hAnsi="David" w:hint="cs"/>
          <w:rtl/>
        </w:rPr>
        <w:t xml:space="preserve">בדיון </w:t>
      </w:r>
      <w:r>
        <w:rPr>
          <w:rFonts w:ascii="David" w:hAnsi="David"/>
          <w:rtl/>
        </w:rPr>
        <w:t xml:space="preserve">נחה דעתי שאין צורך בעריכת תסקיר ואין מקום לדחות את </w:t>
      </w:r>
      <w:r>
        <w:rPr>
          <w:rFonts w:ascii="David" w:hAnsi="David" w:hint="cs"/>
          <w:rtl/>
        </w:rPr>
        <w:t xml:space="preserve">בקשת </w:t>
      </w:r>
      <w:r>
        <w:rPr>
          <w:rFonts w:ascii="David" w:hAnsi="David"/>
          <w:rtl/>
        </w:rPr>
        <w:t>המבקשת לממש את רצונם המשותף שלה ושל בעלה המנוח טרם פטירתו</w:t>
      </w:r>
      <w:r>
        <w:rPr>
          <w:rFonts w:ascii="David" w:hAnsi="David" w:hint="cs"/>
          <w:rtl/>
        </w:rPr>
        <w:t xml:space="preserve"> ללדת</w:t>
      </w:r>
      <w:r>
        <w:rPr>
          <w:rFonts w:ascii="David" w:hAnsi="David"/>
          <w:rtl/>
        </w:rPr>
        <w:t>.</w:t>
      </w:r>
    </w:p>
    <w:p w:rsidR="00706B6F" w:rsidRDefault="00706B6F" w:rsidP="00706B6F">
      <w:pPr>
        <w:spacing w:line="360" w:lineRule="auto"/>
        <w:ind w:left="714" w:hanging="630"/>
        <w:jc w:val="both"/>
        <w:rPr>
          <w:rFonts w:ascii="David" w:hAnsi="David"/>
          <w:rtl/>
        </w:rPr>
      </w:pPr>
    </w:p>
    <w:p w:rsidR="00706B6F" w:rsidRDefault="00706B6F" w:rsidP="00706B6F">
      <w:pPr>
        <w:spacing w:line="360" w:lineRule="auto"/>
        <w:ind w:left="714" w:hanging="630"/>
        <w:jc w:val="both"/>
        <w:rPr>
          <w:rFonts w:ascii="David" w:hAnsi="David"/>
          <w:rtl/>
        </w:rPr>
      </w:pPr>
      <w:r>
        <w:rPr>
          <w:rFonts w:ascii="David" w:hAnsi="David"/>
          <w:rtl/>
        </w:rPr>
        <w:t>13.</w:t>
      </w:r>
      <w:r>
        <w:rPr>
          <w:rFonts w:ascii="David" w:hAnsi="David"/>
          <w:rtl/>
        </w:rPr>
        <w:tab/>
        <w:t>מדובר באישה שהייתה נשואה למנוח ואשר בהחלטה משותפת שלהם בחייו החליטו להביא צאצאים לעולם</w:t>
      </w:r>
      <w:r>
        <w:rPr>
          <w:rFonts w:ascii="David" w:hAnsi="David" w:hint="cs"/>
          <w:rtl/>
        </w:rPr>
        <w:t xml:space="preserve"> ואף עברו טיפולי פוריות</w:t>
      </w:r>
      <w:r>
        <w:rPr>
          <w:rFonts w:ascii="David" w:hAnsi="David"/>
          <w:rtl/>
        </w:rPr>
        <w:t xml:space="preserve">. מטרת התסקיר המבוקש </w:t>
      </w:r>
      <w:r>
        <w:rPr>
          <w:rFonts w:ascii="David" w:hAnsi="David" w:hint="cs"/>
          <w:rtl/>
        </w:rPr>
        <w:t xml:space="preserve">כנטען </w:t>
      </w:r>
      <w:r>
        <w:rPr>
          <w:rFonts w:ascii="David" w:hAnsi="David"/>
          <w:rtl/>
        </w:rPr>
        <w:t>בין היתר היא ללמוד האם חל שינוי בעמדתו של המבקש משנת 2017 עת חתם על  "כרטיס שומר זרע" האם שינה מדעתו</w:t>
      </w:r>
      <w:r>
        <w:rPr>
          <w:rFonts w:ascii="David" w:hAnsi="David" w:hint="cs"/>
          <w:rtl/>
        </w:rPr>
        <w:t xml:space="preserve"> ממועד החתימה</w:t>
      </w:r>
      <w:r>
        <w:rPr>
          <w:rFonts w:ascii="David" w:hAnsi="David"/>
          <w:rtl/>
        </w:rPr>
        <w:t>? בהקשר זה ראוי שיאמר ומיד שלו רצה המנוח לשנות מדעתו יכול היה לעשות כן ו</w:t>
      </w:r>
      <w:r>
        <w:rPr>
          <w:rFonts w:ascii="David" w:hAnsi="David" w:hint="cs"/>
          <w:rtl/>
        </w:rPr>
        <w:t xml:space="preserve">כזאת </w:t>
      </w:r>
      <w:r>
        <w:rPr>
          <w:rFonts w:ascii="David" w:hAnsi="David"/>
          <w:rtl/>
        </w:rPr>
        <w:t>לא עשה</w:t>
      </w:r>
      <w:r>
        <w:rPr>
          <w:rFonts w:ascii="David" w:hAnsi="David" w:hint="cs"/>
          <w:rtl/>
        </w:rPr>
        <w:t xml:space="preserve"> - </w:t>
      </w:r>
      <w:r>
        <w:rPr>
          <w:rFonts w:ascii="David" w:hAnsi="David"/>
          <w:rtl/>
        </w:rPr>
        <w:t xml:space="preserve">די בכך כדי </w:t>
      </w:r>
      <w:r>
        <w:rPr>
          <w:rFonts w:ascii="David" w:hAnsi="David" w:hint="cs"/>
          <w:rtl/>
        </w:rPr>
        <w:t xml:space="preserve">להעיד </w:t>
      </w:r>
      <w:r>
        <w:rPr>
          <w:rFonts w:ascii="David" w:hAnsi="David"/>
          <w:rtl/>
        </w:rPr>
        <w:t xml:space="preserve">שזה היה </w:t>
      </w:r>
      <w:r>
        <w:rPr>
          <w:rFonts w:ascii="David" w:hAnsi="David" w:hint="cs"/>
          <w:rtl/>
        </w:rPr>
        <w:t xml:space="preserve">ונשאר </w:t>
      </w:r>
      <w:r>
        <w:rPr>
          <w:rFonts w:ascii="David" w:hAnsi="David"/>
          <w:rtl/>
        </w:rPr>
        <w:t xml:space="preserve">רצונו. </w:t>
      </w:r>
    </w:p>
    <w:p w:rsidR="00706B6F" w:rsidRDefault="00706B6F" w:rsidP="00706B6F">
      <w:pPr>
        <w:spacing w:line="360" w:lineRule="auto"/>
        <w:ind w:left="714" w:hanging="630"/>
        <w:jc w:val="both"/>
        <w:rPr>
          <w:rFonts w:ascii="David" w:hAnsi="David"/>
          <w:rtl/>
        </w:rPr>
      </w:pPr>
      <w:r>
        <w:rPr>
          <w:rFonts w:ascii="David" w:hAnsi="David"/>
          <w:rtl/>
        </w:rPr>
        <w:tab/>
      </w:r>
    </w:p>
    <w:p w:rsidR="00706B6F" w:rsidRPr="00FA6468" w:rsidRDefault="00706B6F" w:rsidP="00706B6F">
      <w:pPr>
        <w:spacing w:line="360" w:lineRule="auto"/>
        <w:ind w:left="714" w:hanging="630"/>
        <w:jc w:val="both"/>
        <w:rPr>
          <w:rFonts w:ascii="David" w:hAnsi="David"/>
          <w:rtl/>
        </w:rPr>
      </w:pPr>
      <w:r>
        <w:rPr>
          <w:rFonts w:asciiTheme="minorHAnsi" w:hAnsiTheme="minorHAnsi" w:cstheme="minorBidi"/>
          <w:rtl/>
        </w:rPr>
        <w:tab/>
      </w:r>
      <w:r w:rsidRPr="00FA6468">
        <w:rPr>
          <w:rFonts w:ascii="David" w:hAnsi="David"/>
          <w:rtl/>
        </w:rPr>
        <w:t>הדברים עולים מקל וחומר שעה שעת חתם על "כרטיס שומר זרע" הייתה המבקשת חברתו לה נישא כבור כשנתיים מיום החתימה. לו ראה באה כאם ראויה לילדו עת הייתה חברתו הדעת נותנת שכך ראה בה גם משנישא לה. יוזכר נישואיו למבקשת היה הוא כבר מאובחן במחלת הסרטן מה שמעניק נופך נוסף לביסוס רצונו המובע ב"כרטיס שומר זרע" עליו חתם.</w:t>
      </w:r>
    </w:p>
    <w:p w:rsidR="00706B6F" w:rsidRDefault="00706B6F" w:rsidP="00706B6F">
      <w:pPr>
        <w:spacing w:line="360" w:lineRule="auto"/>
        <w:ind w:left="714" w:hanging="630"/>
        <w:jc w:val="both"/>
        <w:rPr>
          <w:rFonts w:asciiTheme="minorHAnsi" w:hAnsiTheme="minorHAnsi" w:cstheme="minorBidi"/>
          <w:rtl/>
        </w:rPr>
      </w:pPr>
    </w:p>
    <w:p w:rsidR="00706B6F" w:rsidRDefault="00706B6F" w:rsidP="00706B6F">
      <w:pPr>
        <w:spacing w:line="360" w:lineRule="auto"/>
        <w:ind w:left="720"/>
        <w:jc w:val="both"/>
        <w:rPr>
          <w:rFonts w:ascii="David" w:hAnsi="David"/>
          <w:rtl/>
        </w:rPr>
      </w:pPr>
      <w:r>
        <w:rPr>
          <w:rFonts w:ascii="David" w:hAnsi="David"/>
          <w:rtl/>
        </w:rPr>
        <w:t>יתרה מכך. לא מדובר במי שחתם על כרטיס שומר זרע לטבת נתרמת ו</w:t>
      </w:r>
      <w:r>
        <w:rPr>
          <w:rFonts w:ascii="David" w:hAnsi="David" w:hint="cs"/>
          <w:rtl/>
        </w:rPr>
        <w:t xml:space="preserve">אותה </w:t>
      </w:r>
      <w:r>
        <w:rPr>
          <w:rFonts w:ascii="David" w:hAnsi="David"/>
          <w:rtl/>
        </w:rPr>
        <w:t>הנתרמת נעלמה  מחייו ועולמו</w:t>
      </w:r>
      <w:r>
        <w:rPr>
          <w:rFonts w:ascii="David" w:hAnsi="David" w:hint="cs"/>
          <w:rtl/>
        </w:rPr>
        <w:t xml:space="preserve">, הקשר הזוגי פקע או כל אירוע אחר שהיה בו כדי להטיל ספק ברצונו. </w:t>
      </w:r>
      <w:r>
        <w:rPr>
          <w:rFonts w:ascii="David" w:hAnsi="David"/>
          <w:rtl/>
        </w:rPr>
        <w:t xml:space="preserve"> או אז יכול אי מי להעלות ספק כזה או אחר </w:t>
      </w:r>
      <w:r>
        <w:rPr>
          <w:rFonts w:ascii="David" w:hAnsi="David" w:hint="cs"/>
          <w:rtl/>
        </w:rPr>
        <w:t>ביחס לרצונו הזה בשל חלוף השנים (לא יהא זה למותר לשוב ולהדגיש שלמנוח, בחייו, הייתה האפשרות לשנות הנחייתו ולהורות על השמדת הזירעונים והוא בחר ש</w:t>
      </w:r>
      <w:r>
        <w:rPr>
          <w:rFonts w:ascii="David" w:hAnsi="David"/>
          <w:rtl/>
        </w:rPr>
        <w:t xml:space="preserve">לא </w:t>
      </w:r>
      <w:r>
        <w:rPr>
          <w:rFonts w:ascii="David" w:hAnsi="David" w:hint="cs"/>
          <w:rtl/>
        </w:rPr>
        <w:t>ל</w:t>
      </w:r>
      <w:r>
        <w:rPr>
          <w:rFonts w:ascii="David" w:hAnsi="David"/>
          <w:rtl/>
        </w:rPr>
        <w:t>עש</w:t>
      </w:r>
      <w:r>
        <w:rPr>
          <w:rFonts w:ascii="David" w:hAnsi="David" w:hint="cs"/>
          <w:rtl/>
        </w:rPr>
        <w:t>ות</w:t>
      </w:r>
      <w:r>
        <w:rPr>
          <w:rFonts w:ascii="David" w:hAnsi="David"/>
          <w:rtl/>
        </w:rPr>
        <w:t xml:space="preserve"> כן</w:t>
      </w:r>
      <w:r>
        <w:rPr>
          <w:rFonts w:ascii="David" w:hAnsi="David" w:hint="cs"/>
          <w:rtl/>
        </w:rPr>
        <w:t xml:space="preserve">). </w:t>
      </w:r>
      <w:r>
        <w:rPr>
          <w:rFonts w:ascii="David" w:hAnsi="David"/>
          <w:rtl/>
        </w:rPr>
        <w:t xml:space="preserve">אלא מאי, </w:t>
      </w:r>
      <w:r>
        <w:rPr>
          <w:rFonts w:ascii="David" w:hAnsi="David" w:hint="cs"/>
          <w:rtl/>
        </w:rPr>
        <w:t xml:space="preserve">בנסיבותיו של תיק זה </w:t>
      </w:r>
      <w:r>
        <w:rPr>
          <w:rFonts w:ascii="David" w:hAnsi="David"/>
          <w:rtl/>
        </w:rPr>
        <w:t xml:space="preserve">לא זו בלבד </w:t>
      </w:r>
      <w:r>
        <w:rPr>
          <w:rFonts w:ascii="David" w:hAnsi="David"/>
          <w:rtl/>
        </w:rPr>
        <w:lastRenderedPageBreak/>
        <w:t xml:space="preserve">שהמבקשת, הנתרמת, לא נעלמה מעולמו </w:t>
      </w:r>
      <w:r>
        <w:rPr>
          <w:rFonts w:ascii="David" w:hAnsi="David" w:hint="cs"/>
          <w:rtl/>
        </w:rPr>
        <w:t xml:space="preserve">של המנוח </w:t>
      </w:r>
      <w:r>
        <w:rPr>
          <w:rFonts w:ascii="David" w:hAnsi="David"/>
          <w:rtl/>
        </w:rPr>
        <w:t xml:space="preserve">אלא שחרף מחלתו נישאו הם בחופה וקידושין. </w:t>
      </w:r>
    </w:p>
    <w:p w:rsidR="00706B6F" w:rsidRDefault="00706B6F" w:rsidP="00706B6F">
      <w:pPr>
        <w:spacing w:line="360" w:lineRule="auto"/>
        <w:ind w:left="720"/>
        <w:jc w:val="both"/>
        <w:rPr>
          <w:rFonts w:ascii="David" w:hAnsi="David"/>
          <w:rtl/>
        </w:rPr>
      </w:pPr>
    </w:p>
    <w:p w:rsidR="00706B6F" w:rsidRDefault="00706B6F" w:rsidP="00706B6F">
      <w:pPr>
        <w:spacing w:line="360" w:lineRule="auto"/>
        <w:ind w:left="720"/>
        <w:jc w:val="both"/>
        <w:rPr>
          <w:rFonts w:ascii="David" w:hAnsi="David"/>
          <w:rtl/>
        </w:rPr>
      </w:pPr>
      <w:r>
        <w:rPr>
          <w:rFonts w:ascii="David" w:hAnsi="David"/>
          <w:rtl/>
        </w:rPr>
        <w:t xml:space="preserve">מבלי להתקבע בקביעה </w:t>
      </w:r>
      <w:r>
        <w:rPr>
          <w:rFonts w:ascii="David" w:hAnsi="David" w:hint="cs"/>
          <w:rtl/>
        </w:rPr>
        <w:t xml:space="preserve">משתנה בין </w:t>
      </w:r>
      <w:r>
        <w:rPr>
          <w:rFonts w:ascii="David" w:hAnsi="David"/>
          <w:rtl/>
        </w:rPr>
        <w:t xml:space="preserve">מגזרים </w:t>
      </w:r>
      <w:r>
        <w:rPr>
          <w:rFonts w:ascii="David" w:hAnsi="David" w:hint="cs"/>
          <w:rtl/>
        </w:rPr>
        <w:t xml:space="preserve">ואוכלוסיות </w:t>
      </w:r>
      <w:r>
        <w:rPr>
          <w:rFonts w:ascii="David" w:hAnsi="David"/>
          <w:rtl/>
        </w:rPr>
        <w:t>ככלל זוגיות ונישואין מטרתם יצירת תא משפחתי וילדים הם חלק מתוך התא המשפחתי וחזקה שמעשה הנישואין הוביל למחשבה על הרחבת התא המשפחתי על ידי המנוח.</w:t>
      </w:r>
      <w:r>
        <w:rPr>
          <w:rFonts w:ascii="David" w:hAnsi="David" w:hint="cs"/>
          <w:rtl/>
        </w:rPr>
        <w:t xml:space="preserve"> כלל זה, על אף הסייג שהובא לעיל, קיבל ביטוי במערכת היחסים של המבקשת והמנוח לאור טיפולי ההפריה שעברה המבקשת על מנת להרות מזרעו של בעלה בעודו בחיים. </w:t>
      </w:r>
    </w:p>
    <w:p w:rsidR="00706B6F" w:rsidRDefault="00706B6F" w:rsidP="00706B6F">
      <w:pPr>
        <w:spacing w:line="360" w:lineRule="auto"/>
        <w:ind w:left="720"/>
        <w:jc w:val="both"/>
        <w:rPr>
          <w:rFonts w:ascii="David" w:hAnsi="David"/>
          <w:rtl/>
        </w:rPr>
      </w:pPr>
    </w:p>
    <w:p w:rsidR="00706B6F" w:rsidRDefault="00706B6F" w:rsidP="00706B6F">
      <w:pPr>
        <w:spacing w:line="360" w:lineRule="auto"/>
        <w:ind w:left="720"/>
        <w:jc w:val="both"/>
        <w:rPr>
          <w:rFonts w:ascii="David" w:hAnsi="David"/>
          <w:rtl/>
        </w:rPr>
      </w:pPr>
      <w:r>
        <w:rPr>
          <w:rFonts w:ascii="David" w:hAnsi="David"/>
          <w:rtl/>
        </w:rPr>
        <w:t xml:space="preserve">אם בכך לא די בשנת 2021 התייצב </w:t>
      </w:r>
      <w:r w:rsidRPr="00487E31">
        <w:rPr>
          <w:rFonts w:ascii="David" w:hAnsi="David"/>
          <w:u w:val="single"/>
          <w:rtl/>
        </w:rPr>
        <w:t>המנוח</w:t>
      </w:r>
      <w:r>
        <w:rPr>
          <w:rFonts w:ascii="David" w:hAnsi="David"/>
          <w:rtl/>
        </w:rPr>
        <w:t xml:space="preserve"> </w:t>
      </w:r>
      <w:r w:rsidRPr="00487E31">
        <w:rPr>
          <w:rFonts w:ascii="David" w:hAnsi="David"/>
          <w:u w:val="single"/>
          <w:rtl/>
        </w:rPr>
        <w:t>בגפו</w:t>
      </w:r>
      <w:r>
        <w:rPr>
          <w:rFonts w:ascii="David" w:hAnsi="David"/>
          <w:rtl/>
        </w:rPr>
        <w:t xml:space="preserve"> בבית החולים על מנת להתחקות על  הגורמים להפלה שעברה המבקשת ובניסיון להבין איך ניתן לפתור זאת ומה יותר מכך להעיד על רצונו בהמשכיות בהקמת צאצאים עם המבקשת.</w:t>
      </w:r>
      <w:r>
        <w:rPr>
          <w:rFonts w:ascii="David" w:hAnsi="David" w:hint="cs"/>
          <w:rtl/>
        </w:rPr>
        <w:t xml:space="preserve"> שוב יודגש שגם לעת הזו נתונה הייתה בידיו ההחלטה לשנות את חתימתו על "כרטיס שומר זרע" והוא בחר להתמיד בהנחייתו שם.</w:t>
      </w:r>
    </w:p>
    <w:p w:rsidR="00706B6F" w:rsidRDefault="00706B6F" w:rsidP="00706B6F">
      <w:pPr>
        <w:spacing w:line="360" w:lineRule="auto"/>
        <w:ind w:left="720"/>
        <w:jc w:val="both"/>
        <w:rPr>
          <w:rFonts w:ascii="David" w:hAnsi="David"/>
          <w:rtl/>
        </w:rPr>
      </w:pPr>
    </w:p>
    <w:p w:rsidR="00706B6F" w:rsidRDefault="00706B6F" w:rsidP="00706B6F">
      <w:pPr>
        <w:spacing w:line="360" w:lineRule="auto"/>
        <w:ind w:left="720"/>
        <w:jc w:val="both"/>
        <w:rPr>
          <w:rFonts w:ascii="David" w:hAnsi="David"/>
          <w:rtl/>
        </w:rPr>
      </w:pPr>
      <w:r>
        <w:rPr>
          <w:rFonts w:ascii="David" w:hAnsi="David"/>
          <w:rtl/>
        </w:rPr>
        <w:t xml:space="preserve">התהייה לגבי המבקשת עצמה ורצונה נפתר מהבקשה עצמה ודברי המבקשת בדיון. </w:t>
      </w:r>
    </w:p>
    <w:p w:rsidR="00706B6F" w:rsidRDefault="00706B6F" w:rsidP="00706B6F">
      <w:pPr>
        <w:spacing w:line="360" w:lineRule="auto"/>
        <w:ind w:left="720"/>
        <w:jc w:val="both"/>
        <w:rPr>
          <w:rFonts w:ascii="David" w:hAnsi="David"/>
          <w:rtl/>
        </w:rPr>
      </w:pPr>
    </w:p>
    <w:p w:rsidR="00706B6F" w:rsidRDefault="00706B6F" w:rsidP="00706B6F">
      <w:pPr>
        <w:spacing w:line="360" w:lineRule="auto"/>
        <w:ind w:left="720"/>
        <w:jc w:val="both"/>
        <w:rPr>
          <w:rFonts w:ascii="David" w:hAnsi="David"/>
          <w:rtl/>
        </w:rPr>
      </w:pPr>
      <w:r>
        <w:rPr>
          <w:rFonts w:ascii="David" w:hAnsi="David"/>
          <w:rtl/>
        </w:rPr>
        <w:t xml:space="preserve">התערבות ברצונה </w:t>
      </w:r>
      <w:r>
        <w:rPr>
          <w:rFonts w:ascii="David" w:hAnsi="David" w:hint="cs"/>
          <w:rtl/>
        </w:rPr>
        <w:t>המוצהר הן בבקשתה והן בדיון להרות מזרעו של בעלה המנוח מ</w:t>
      </w:r>
      <w:r>
        <w:rPr>
          <w:rFonts w:ascii="David" w:hAnsi="David"/>
          <w:rtl/>
        </w:rPr>
        <w:t>הווה פגיעה באוטונומיה של הרצון הפרטי</w:t>
      </w:r>
      <w:r>
        <w:rPr>
          <w:rFonts w:ascii="David" w:hAnsi="David" w:hint="cs"/>
          <w:rtl/>
        </w:rPr>
        <w:t xml:space="preserve"> שלה</w:t>
      </w:r>
      <w:r>
        <w:rPr>
          <w:rFonts w:ascii="David" w:hAnsi="David"/>
          <w:rtl/>
        </w:rPr>
        <w:t xml:space="preserve">. מדובר באישה בוגרת אשר </w:t>
      </w:r>
      <w:r>
        <w:rPr>
          <w:rFonts w:ascii="David" w:hAnsi="David" w:hint="cs"/>
          <w:rtl/>
        </w:rPr>
        <w:t xml:space="preserve">יודעת ומבינה את ההשלכות של ההליך אותו היא מבקשת לעבור, </w:t>
      </w:r>
      <w:r>
        <w:rPr>
          <w:rFonts w:ascii="David" w:hAnsi="David"/>
          <w:rtl/>
        </w:rPr>
        <w:t xml:space="preserve">עומדת ואומרת </w:t>
      </w:r>
      <w:r>
        <w:rPr>
          <w:rFonts w:ascii="David" w:hAnsi="David" w:hint="cs"/>
          <w:rtl/>
        </w:rPr>
        <w:t xml:space="preserve">בריש גלי </w:t>
      </w:r>
      <w:r>
        <w:rPr>
          <w:rFonts w:ascii="David" w:hAnsi="David"/>
          <w:rtl/>
        </w:rPr>
        <w:t>'רוצה אני להרות מזרעו של בעלי, לא של אדם זר, של בעלי המנוח אתו בחרתי להקים בית בישראל</w:t>
      </w:r>
      <w:r>
        <w:rPr>
          <w:rFonts w:ascii="David" w:hAnsi="David" w:hint="cs"/>
          <w:rtl/>
        </w:rPr>
        <w:t xml:space="preserve"> זה היה רצוננו המשותף</w:t>
      </w:r>
      <w:r>
        <w:rPr>
          <w:rFonts w:ascii="David" w:hAnsi="David"/>
          <w:rtl/>
        </w:rPr>
        <w:t xml:space="preserve">'. מניין קמה </w:t>
      </w:r>
      <w:r>
        <w:rPr>
          <w:rFonts w:ascii="David" w:hAnsi="David" w:hint="cs"/>
          <w:rtl/>
        </w:rPr>
        <w:t>הרשות</w:t>
      </w:r>
      <w:r>
        <w:rPr>
          <w:rFonts w:ascii="David" w:hAnsi="David"/>
          <w:rtl/>
        </w:rPr>
        <w:t xml:space="preserve"> לאי מי להתערב בזכותה של המבקשת על גופה</w:t>
      </w:r>
      <w:r>
        <w:rPr>
          <w:rFonts w:ascii="David" w:hAnsi="David" w:hint="cs"/>
          <w:rtl/>
        </w:rPr>
        <w:t xml:space="preserve"> ולכפות עליה מחשבה שונה? </w:t>
      </w:r>
      <w:r>
        <w:rPr>
          <w:rFonts w:ascii="David" w:hAnsi="David"/>
          <w:rtl/>
        </w:rPr>
        <w:t xml:space="preserve"> איני רואה הכיצד יוכל גורם חיצוני למבקשת להחליט על מה יעשה בגופה שלה</w:t>
      </w:r>
      <w:r>
        <w:rPr>
          <w:rFonts w:ascii="David" w:hAnsi="David" w:hint="cs"/>
          <w:rtl/>
        </w:rPr>
        <w:t>.</w:t>
      </w:r>
      <w:r>
        <w:rPr>
          <w:rFonts w:ascii="David" w:hAnsi="David"/>
          <w:rtl/>
        </w:rPr>
        <w:t xml:space="preserve"> מקל וחומר שמדובר ברצונה להרות מזרעו של בעלה המנוח</w:t>
      </w:r>
      <w:r>
        <w:rPr>
          <w:rFonts w:ascii="David" w:hAnsi="David" w:hint="cs"/>
          <w:rtl/>
        </w:rPr>
        <w:t>: רצונה המשקף גם את רצונו</w:t>
      </w:r>
      <w:r>
        <w:rPr>
          <w:rFonts w:ascii="David" w:hAnsi="David"/>
          <w:rtl/>
        </w:rPr>
        <w:t xml:space="preserve">. </w:t>
      </w:r>
    </w:p>
    <w:p w:rsidR="00706B6F" w:rsidRDefault="00706B6F" w:rsidP="00706B6F">
      <w:pPr>
        <w:spacing w:line="360" w:lineRule="auto"/>
        <w:ind w:left="720"/>
        <w:jc w:val="both"/>
        <w:rPr>
          <w:rFonts w:ascii="David" w:hAnsi="David"/>
          <w:rtl/>
        </w:rPr>
      </w:pPr>
    </w:p>
    <w:p w:rsidR="00706B6F" w:rsidRDefault="00706B6F" w:rsidP="00706B6F">
      <w:pPr>
        <w:spacing w:line="360" w:lineRule="auto"/>
        <w:ind w:left="720"/>
        <w:jc w:val="both"/>
        <w:rPr>
          <w:rFonts w:ascii="David" w:hAnsi="David"/>
          <w:rtl/>
        </w:rPr>
      </w:pPr>
      <w:r>
        <w:rPr>
          <w:rFonts w:ascii="David" w:hAnsi="David"/>
          <w:rtl/>
        </w:rPr>
        <w:t xml:space="preserve">באשר לצורך בעמדת הורי המנוח הרי שטענה זו נדחית מיני וביה. מה לי רצונה של אמו או אביו או שאר בני משפחתו. המנוח הביע דעתו על </w:t>
      </w:r>
      <w:r>
        <w:rPr>
          <w:rFonts w:ascii="David" w:hAnsi="David" w:hint="cs"/>
          <w:rtl/>
        </w:rPr>
        <w:t xml:space="preserve">הבאת צאצאים עם המבקשת </w:t>
      </w:r>
      <w:r>
        <w:rPr>
          <w:rFonts w:ascii="David" w:hAnsi="David"/>
          <w:rtl/>
        </w:rPr>
        <w:t>בשעה שבחר לקשור את גורלו בגורלה ומרגע זה השיקול היחיד הוא רצונם</w:t>
      </w:r>
      <w:r>
        <w:rPr>
          <w:rFonts w:ascii="David" w:hAnsi="David" w:hint="cs"/>
          <w:rtl/>
        </w:rPr>
        <w:t xml:space="preserve"> שלהם בלבד</w:t>
      </w:r>
      <w:r>
        <w:rPr>
          <w:rFonts w:ascii="David" w:hAnsi="David"/>
          <w:rtl/>
        </w:rPr>
        <w:t>.</w:t>
      </w:r>
    </w:p>
    <w:p w:rsidR="00706B6F" w:rsidRDefault="00706B6F" w:rsidP="00706B6F">
      <w:pPr>
        <w:spacing w:line="360" w:lineRule="auto"/>
        <w:ind w:left="720"/>
        <w:jc w:val="both"/>
        <w:rPr>
          <w:rFonts w:ascii="David" w:hAnsi="David"/>
          <w:rtl/>
        </w:rPr>
      </w:pPr>
    </w:p>
    <w:p w:rsidR="00706B6F" w:rsidRDefault="00706B6F" w:rsidP="00706B6F">
      <w:pPr>
        <w:spacing w:line="360" w:lineRule="auto"/>
        <w:ind w:left="720"/>
        <w:jc w:val="both"/>
        <w:rPr>
          <w:rFonts w:ascii="David" w:hAnsi="David"/>
          <w:rtl/>
        </w:rPr>
      </w:pPr>
      <w:r>
        <w:rPr>
          <w:rFonts w:ascii="David" w:hAnsi="David" w:hint="cs"/>
          <w:rtl/>
        </w:rPr>
        <w:t xml:space="preserve">שווה בנפשך שהורי המנוח יתנגדו לבקשה. היעלה על הדעת לשלול מהמבקשת לממש את פרי אהבתה למנוח? היעלה על הדעת לשלול מהמבקשת את הזכות לממש את רצונם המשותף שעלה בעוד בעלה בחיים בשל התנגדות מי ממשפחתו של המנוח ותהא הסיבה לכך אשר תהא. </w:t>
      </w:r>
    </w:p>
    <w:p w:rsidR="00706B6F" w:rsidRDefault="00706B6F" w:rsidP="00706B6F">
      <w:pPr>
        <w:spacing w:line="360" w:lineRule="auto"/>
        <w:ind w:left="720"/>
        <w:jc w:val="both"/>
        <w:rPr>
          <w:rFonts w:ascii="David" w:hAnsi="David"/>
          <w:rtl/>
        </w:rPr>
      </w:pPr>
      <w:r>
        <w:rPr>
          <w:rFonts w:ascii="David" w:hAnsi="David" w:hint="cs"/>
          <w:rtl/>
        </w:rPr>
        <w:t xml:space="preserve">לטעמי לא.  </w:t>
      </w:r>
    </w:p>
    <w:p w:rsidR="00706B6F" w:rsidRDefault="00706B6F" w:rsidP="00706B6F">
      <w:pPr>
        <w:spacing w:line="360" w:lineRule="auto"/>
        <w:ind w:left="720"/>
        <w:jc w:val="both"/>
        <w:rPr>
          <w:rFonts w:ascii="David" w:hAnsi="David"/>
          <w:rtl/>
        </w:rPr>
      </w:pPr>
    </w:p>
    <w:p w:rsidR="00706B6F" w:rsidRDefault="00706B6F" w:rsidP="00706B6F">
      <w:pPr>
        <w:spacing w:line="360" w:lineRule="auto"/>
        <w:ind w:left="720"/>
        <w:jc w:val="both"/>
        <w:rPr>
          <w:rFonts w:ascii="David" w:hAnsi="David"/>
          <w:rtl/>
        </w:rPr>
      </w:pPr>
      <w:r>
        <w:rPr>
          <w:rFonts w:ascii="David" w:hAnsi="David" w:hint="cs"/>
          <w:rtl/>
        </w:rPr>
        <w:t xml:space="preserve">כך, </w:t>
      </w:r>
      <w:r>
        <w:rPr>
          <w:rFonts w:ascii="David" w:hAnsi="David"/>
          <w:rtl/>
        </w:rPr>
        <w:t xml:space="preserve">שווה בנפשך </w:t>
      </w:r>
      <w:r>
        <w:rPr>
          <w:rFonts w:ascii="David" w:hAnsi="David" w:hint="cs"/>
          <w:rtl/>
        </w:rPr>
        <w:t xml:space="preserve">באנלוגיה לצורך בעמדתם עתה </w:t>
      </w:r>
      <w:r>
        <w:rPr>
          <w:rFonts w:ascii="David" w:hAnsi="David"/>
          <w:rtl/>
        </w:rPr>
        <w:t xml:space="preserve">שהוריו או משפחתו של המנוח היו נדרשים לחוות דעה באשר להולדת צאצאים שעה שהיו המבקשת והמנוח נשואים. </w:t>
      </w:r>
      <w:r>
        <w:rPr>
          <w:rFonts w:ascii="David" w:hAnsi="David" w:hint="cs"/>
          <w:rtl/>
        </w:rPr>
        <w:t xml:space="preserve">מות המנוח </w:t>
      </w:r>
      <w:r>
        <w:rPr>
          <w:rFonts w:ascii="David" w:hAnsi="David"/>
          <w:rtl/>
        </w:rPr>
        <w:t xml:space="preserve">שינה את המציאות הפיסית של המנוח אולם לא את מכלול הערכים הקשורים ברצונו להתקשר </w:t>
      </w:r>
      <w:r>
        <w:rPr>
          <w:rFonts w:ascii="David" w:hAnsi="David"/>
          <w:rtl/>
        </w:rPr>
        <w:lastRenderedPageBreak/>
        <w:t>בברית הנישואין עם המבקשת ואין כל מקום לעמדת המשפחה</w:t>
      </w:r>
      <w:r>
        <w:rPr>
          <w:rFonts w:ascii="David" w:hAnsi="David" w:hint="cs"/>
          <w:rtl/>
        </w:rPr>
        <w:t>, כאמור,</w:t>
      </w:r>
      <w:r>
        <w:rPr>
          <w:rFonts w:ascii="David" w:hAnsi="David"/>
          <w:rtl/>
        </w:rPr>
        <w:t xml:space="preserve"> תהא עמדתם אשר תהא.</w:t>
      </w:r>
    </w:p>
    <w:p w:rsidR="00706B6F" w:rsidRDefault="00706B6F" w:rsidP="00706B6F">
      <w:pPr>
        <w:spacing w:line="360" w:lineRule="auto"/>
        <w:ind w:left="720"/>
        <w:jc w:val="both"/>
        <w:rPr>
          <w:rFonts w:ascii="David" w:hAnsi="David"/>
          <w:rtl/>
        </w:rPr>
      </w:pPr>
    </w:p>
    <w:p w:rsidR="00706B6F" w:rsidRDefault="00706B6F" w:rsidP="00706B6F">
      <w:pPr>
        <w:spacing w:line="360" w:lineRule="auto"/>
        <w:ind w:left="720"/>
        <w:jc w:val="both"/>
        <w:rPr>
          <w:rFonts w:ascii="David" w:hAnsi="David"/>
          <w:rtl/>
        </w:rPr>
      </w:pPr>
      <w:r>
        <w:rPr>
          <w:rFonts w:ascii="David" w:hAnsi="David"/>
          <w:rtl/>
        </w:rPr>
        <w:t>ויתמה השואל האם במצב הפוך שהמבקשת הייתה מסרבת להרות מזרע בעלה המנוח חרף כל ההכנות לקראת זה ניתן היה לכפות עליה להרות</w:t>
      </w:r>
      <w:r>
        <w:rPr>
          <w:rFonts w:ascii="David" w:hAnsi="David" w:hint="cs"/>
          <w:rtl/>
        </w:rPr>
        <w:t xml:space="preserve"> מכוח רצון המשפחה</w:t>
      </w:r>
      <w:r>
        <w:rPr>
          <w:rFonts w:ascii="David" w:hAnsi="David"/>
          <w:rtl/>
        </w:rPr>
        <w:t>? במה שונה המצב?</w:t>
      </w:r>
    </w:p>
    <w:p w:rsidR="00706B6F" w:rsidRDefault="00706B6F" w:rsidP="00706B6F">
      <w:pPr>
        <w:spacing w:line="360" w:lineRule="auto"/>
        <w:ind w:left="720"/>
        <w:jc w:val="both"/>
        <w:rPr>
          <w:rFonts w:ascii="David" w:hAnsi="David"/>
          <w:rtl/>
        </w:rPr>
      </w:pPr>
    </w:p>
    <w:p w:rsidR="00706B6F" w:rsidRDefault="00706B6F" w:rsidP="00706B6F">
      <w:pPr>
        <w:spacing w:line="360" w:lineRule="auto"/>
        <w:ind w:left="714" w:hanging="630"/>
        <w:jc w:val="both"/>
        <w:rPr>
          <w:rFonts w:ascii="David" w:hAnsi="David"/>
          <w:rtl/>
        </w:rPr>
      </w:pPr>
      <w:r>
        <w:rPr>
          <w:rFonts w:ascii="David" w:hAnsi="David"/>
          <w:rtl/>
        </w:rPr>
        <w:t>13.</w:t>
      </w:r>
      <w:r>
        <w:rPr>
          <w:rFonts w:ascii="David" w:hAnsi="David"/>
          <w:rtl/>
        </w:rPr>
        <w:tab/>
        <w:t xml:space="preserve">מבלי לגרוע מהאמור לעיל המעיין בסעיפים </w:t>
      </w:r>
      <w:r>
        <w:rPr>
          <w:rFonts w:ascii="David" w:hAnsi="David" w:hint="cs"/>
          <w:rtl/>
        </w:rPr>
        <w:t>28-27 (אליהם הפנו הצדדים) ו</w:t>
      </w:r>
      <w:r>
        <w:rPr>
          <w:rFonts w:ascii="David" w:hAnsi="David"/>
          <w:rtl/>
        </w:rPr>
        <w:t xml:space="preserve">הרלוונטיים </w:t>
      </w:r>
      <w:r>
        <w:rPr>
          <w:rFonts w:ascii="David" w:hAnsi="David" w:hint="cs"/>
          <w:rtl/>
        </w:rPr>
        <w:t xml:space="preserve">לענייננו </w:t>
      </w:r>
      <w:r>
        <w:rPr>
          <w:rFonts w:ascii="David" w:hAnsi="David"/>
          <w:rtl/>
        </w:rPr>
        <w:t>בהנחיה</w:t>
      </w:r>
      <w:r>
        <w:rPr>
          <w:rFonts w:ascii="David" w:hAnsi="David" w:hint="cs"/>
          <w:rtl/>
        </w:rPr>
        <w:t xml:space="preserve"> של היועצת המשפטית לממשלה </w:t>
      </w:r>
      <w:r>
        <w:rPr>
          <w:rFonts w:ascii="David" w:hAnsi="David"/>
          <w:rtl/>
        </w:rPr>
        <w:t>למד גם מנוסח</w:t>
      </w:r>
      <w:r>
        <w:rPr>
          <w:rFonts w:ascii="David" w:hAnsi="David" w:hint="cs"/>
          <w:rtl/>
        </w:rPr>
        <w:t xml:space="preserve">ם </w:t>
      </w:r>
      <w:r>
        <w:rPr>
          <w:rFonts w:ascii="David" w:hAnsi="David"/>
          <w:rtl/>
        </w:rPr>
        <w:t>הקשרו של תיק זה שאין מקום להורות על עריכת תסקיר.</w:t>
      </w:r>
    </w:p>
    <w:p w:rsidR="00706B6F" w:rsidRDefault="00706B6F" w:rsidP="00706B6F">
      <w:pPr>
        <w:spacing w:line="360" w:lineRule="auto"/>
        <w:ind w:left="714" w:hanging="630"/>
        <w:jc w:val="both"/>
        <w:rPr>
          <w:rFonts w:ascii="David" w:hAnsi="David"/>
          <w:rtl/>
        </w:rPr>
      </w:pPr>
    </w:p>
    <w:p w:rsidR="00706B6F" w:rsidRDefault="00706B6F" w:rsidP="00706B6F">
      <w:pPr>
        <w:spacing w:line="360" w:lineRule="auto"/>
        <w:ind w:left="714" w:hanging="630"/>
        <w:jc w:val="both"/>
        <w:rPr>
          <w:rFonts w:ascii="David" w:hAnsi="David"/>
          <w:rtl/>
        </w:rPr>
      </w:pPr>
      <w:r>
        <w:rPr>
          <w:rFonts w:ascii="David" w:hAnsi="David"/>
          <w:rtl/>
        </w:rPr>
        <w:tab/>
      </w:r>
      <w:r>
        <w:rPr>
          <w:rFonts w:ascii="David" w:hAnsi="David" w:hint="cs"/>
          <w:rtl/>
        </w:rPr>
        <w:t>תסקיר נדרש כאשר יש חשש ביחס "לאינדיקציות המעידות על קיומו של רצון משוער" או אז "ראוי" להורות על עריכת תסקיר. אולם בתיק זה, לאור המובא לעיל, האינדיקציות מעידות על רצון מפורש של המנוח שהמבקשת תהרה מזרעו.</w:t>
      </w:r>
    </w:p>
    <w:p w:rsidR="00706B6F" w:rsidRDefault="00706B6F" w:rsidP="00706B6F">
      <w:pPr>
        <w:spacing w:line="360" w:lineRule="auto"/>
        <w:ind w:left="714" w:hanging="630"/>
        <w:jc w:val="both"/>
        <w:rPr>
          <w:rFonts w:ascii="David" w:hAnsi="David"/>
          <w:rtl/>
        </w:rPr>
      </w:pPr>
    </w:p>
    <w:p w:rsidR="00706B6F" w:rsidRPr="007908E0" w:rsidRDefault="00706B6F" w:rsidP="00706B6F">
      <w:pPr>
        <w:spacing w:line="360" w:lineRule="auto"/>
        <w:ind w:left="714" w:hanging="630"/>
        <w:jc w:val="both"/>
        <w:rPr>
          <w:rFonts w:ascii="David" w:hAnsi="David"/>
          <w:b/>
          <w:bCs/>
          <w:sz w:val="26"/>
          <w:szCs w:val="26"/>
          <w:u w:val="single"/>
          <w:rtl/>
        </w:rPr>
      </w:pPr>
      <w:r w:rsidRPr="007908E0">
        <w:rPr>
          <w:rFonts w:ascii="David" w:hAnsi="David" w:hint="cs"/>
          <w:b/>
          <w:bCs/>
          <w:sz w:val="26"/>
          <w:szCs w:val="26"/>
          <w:u w:val="single"/>
          <w:rtl/>
        </w:rPr>
        <w:t>אחרית דבר</w:t>
      </w:r>
      <w:r w:rsidRPr="007908E0">
        <w:rPr>
          <w:rFonts w:ascii="David" w:hAnsi="David" w:hint="cs"/>
          <w:b/>
          <w:bCs/>
          <w:sz w:val="26"/>
          <w:szCs w:val="26"/>
          <w:rtl/>
        </w:rPr>
        <w:t>:</w:t>
      </w:r>
    </w:p>
    <w:p w:rsidR="00706B6F" w:rsidRDefault="00706B6F" w:rsidP="00706B6F">
      <w:pPr>
        <w:spacing w:line="360" w:lineRule="auto"/>
        <w:ind w:left="714" w:hanging="630"/>
        <w:jc w:val="both"/>
        <w:rPr>
          <w:rFonts w:ascii="David" w:hAnsi="David"/>
          <w:rtl/>
        </w:rPr>
      </w:pPr>
    </w:p>
    <w:p w:rsidR="00706B6F" w:rsidRDefault="00706B6F" w:rsidP="00706B6F">
      <w:pPr>
        <w:spacing w:line="360" w:lineRule="auto"/>
        <w:ind w:left="714" w:hanging="630"/>
        <w:jc w:val="both"/>
        <w:rPr>
          <w:rFonts w:ascii="David" w:hAnsi="David"/>
          <w:rtl/>
        </w:rPr>
      </w:pPr>
      <w:r>
        <w:rPr>
          <w:rFonts w:ascii="David" w:hAnsi="David"/>
          <w:rtl/>
        </w:rPr>
        <w:t>14.</w:t>
      </w:r>
      <w:r>
        <w:rPr>
          <w:rFonts w:ascii="David" w:hAnsi="David"/>
          <w:rtl/>
        </w:rPr>
        <w:tab/>
        <w:t xml:space="preserve">כללו של  דבר הבקשה מתקבלת. </w:t>
      </w:r>
    </w:p>
    <w:p w:rsidR="00706B6F" w:rsidRDefault="00706B6F" w:rsidP="00706B6F">
      <w:pPr>
        <w:spacing w:line="360" w:lineRule="auto"/>
        <w:ind w:left="714" w:hanging="630"/>
        <w:jc w:val="both"/>
        <w:rPr>
          <w:rFonts w:ascii="David" w:hAnsi="David"/>
          <w:rtl/>
        </w:rPr>
      </w:pPr>
    </w:p>
    <w:p w:rsidR="00706B6F" w:rsidRDefault="00706B6F" w:rsidP="00706B6F">
      <w:pPr>
        <w:spacing w:line="360" w:lineRule="auto"/>
        <w:ind w:left="714"/>
        <w:jc w:val="both"/>
        <w:rPr>
          <w:rFonts w:ascii="David" w:hAnsi="David"/>
          <w:rtl/>
        </w:rPr>
      </w:pPr>
      <w:r>
        <w:rPr>
          <w:rFonts w:ascii="David" w:hAnsi="David"/>
          <w:rtl/>
        </w:rPr>
        <w:t xml:space="preserve">לא מצאתי להורות על הכנת תסקיר כתנאי למימוש רצונה של המבקשת לקיים את רצונם המשתף שלה ושל המנוח כפי שמשתקף מהחומר שלפני לרבות דברי המבקשת בדיון. </w:t>
      </w:r>
    </w:p>
    <w:p w:rsidR="00706B6F" w:rsidRDefault="00706B6F" w:rsidP="00706B6F">
      <w:pPr>
        <w:spacing w:line="360" w:lineRule="auto"/>
        <w:ind w:left="714" w:hanging="630"/>
        <w:jc w:val="both"/>
        <w:rPr>
          <w:rFonts w:ascii="David" w:hAnsi="David"/>
          <w:rtl/>
        </w:rPr>
      </w:pPr>
    </w:p>
    <w:p w:rsidR="00706B6F" w:rsidRDefault="00706B6F" w:rsidP="00706B6F">
      <w:pPr>
        <w:spacing w:line="360" w:lineRule="auto"/>
        <w:ind w:left="714" w:hanging="630"/>
        <w:jc w:val="both"/>
        <w:rPr>
          <w:rFonts w:ascii="David" w:hAnsi="David"/>
          <w:rtl/>
        </w:rPr>
      </w:pPr>
      <w:r>
        <w:rPr>
          <w:rFonts w:ascii="David" w:hAnsi="David"/>
          <w:rtl/>
        </w:rPr>
        <w:t>15.</w:t>
      </w:r>
      <w:r>
        <w:rPr>
          <w:rFonts w:ascii="David" w:hAnsi="David"/>
          <w:rtl/>
        </w:rPr>
        <w:tab/>
        <w:t>מתיר פרסום ההחלטה בהשמטת פרטים מזהים.</w:t>
      </w:r>
    </w:p>
    <w:p w:rsidR="00706B6F" w:rsidRDefault="00706B6F" w:rsidP="00706B6F">
      <w:pPr>
        <w:spacing w:line="360" w:lineRule="auto"/>
        <w:ind w:left="714" w:hanging="630"/>
        <w:jc w:val="both"/>
        <w:rPr>
          <w:rFonts w:ascii="David" w:hAnsi="David"/>
          <w:rtl/>
        </w:rPr>
      </w:pPr>
    </w:p>
    <w:p w:rsidR="00706B6F" w:rsidRDefault="00706B6F" w:rsidP="00706B6F">
      <w:pPr>
        <w:spacing w:line="360" w:lineRule="auto"/>
        <w:ind w:left="714" w:hanging="630"/>
        <w:jc w:val="both"/>
        <w:rPr>
          <w:rFonts w:ascii="David" w:hAnsi="David"/>
          <w:rtl/>
        </w:rPr>
      </w:pPr>
      <w:r>
        <w:rPr>
          <w:rFonts w:ascii="David" w:hAnsi="David"/>
          <w:rtl/>
        </w:rPr>
        <w:t>16.</w:t>
      </w:r>
      <w:r>
        <w:rPr>
          <w:rFonts w:ascii="David" w:hAnsi="David"/>
          <w:rtl/>
        </w:rPr>
        <w:tab/>
        <w:t>בזאת תם הטיפול בתובענה.</w:t>
      </w:r>
    </w:p>
    <w:p w:rsidR="00706B6F" w:rsidRDefault="00706B6F" w:rsidP="00706B6F">
      <w:pPr>
        <w:spacing w:line="360" w:lineRule="auto"/>
        <w:ind w:left="714" w:hanging="630"/>
        <w:jc w:val="both"/>
        <w:rPr>
          <w:rFonts w:ascii="David" w:hAnsi="David"/>
          <w:rtl/>
        </w:rPr>
      </w:pPr>
    </w:p>
    <w:p w:rsidR="00706B6F" w:rsidRDefault="00706B6F" w:rsidP="00706B6F">
      <w:pPr>
        <w:spacing w:line="360" w:lineRule="auto"/>
        <w:ind w:left="714" w:hanging="630"/>
        <w:jc w:val="both"/>
        <w:rPr>
          <w:rFonts w:ascii="David" w:hAnsi="David"/>
          <w:rtl/>
        </w:rPr>
      </w:pPr>
      <w:r>
        <w:rPr>
          <w:rFonts w:ascii="David" w:hAnsi="David"/>
          <w:rtl/>
        </w:rPr>
        <w:t>17.</w:t>
      </w:r>
      <w:r>
        <w:rPr>
          <w:rFonts w:ascii="David" w:hAnsi="David"/>
          <w:rtl/>
        </w:rPr>
        <w:tab/>
        <w:t>תואיל המזכירות לשלוח ההחלטה לצדדים ולסגור את התיק.</w:t>
      </w:r>
    </w:p>
    <w:p w:rsidR="00706B6F" w:rsidRDefault="00706B6F" w:rsidP="00706B6F">
      <w:pPr>
        <w:spacing w:line="360" w:lineRule="auto"/>
        <w:ind w:left="714" w:hanging="630"/>
        <w:jc w:val="both"/>
        <w:rPr>
          <w:rFonts w:ascii="David" w:hAnsi="David"/>
          <w:rtl/>
        </w:rPr>
      </w:pPr>
    </w:p>
    <w:p w:rsidR="00706B6F" w:rsidRDefault="00706B6F" w:rsidP="00706B6F">
      <w:pPr>
        <w:spacing w:line="360" w:lineRule="auto"/>
        <w:jc w:val="both"/>
        <w:rPr>
          <w:rFonts w:ascii="Arial" w:hAnsi="Arial"/>
          <w:noProof w:val="0"/>
          <w:rtl/>
        </w:rPr>
      </w:pPr>
    </w:p>
    <w:p w:rsidR="00706B6F" w:rsidRPr="00DE1E7D" w:rsidRDefault="00706B6F" w:rsidP="00706B6F">
      <w:pPr>
        <w:spacing w:line="360" w:lineRule="auto"/>
        <w:jc w:val="both"/>
        <w:rPr>
          <w:rFonts w:ascii="Arial" w:hAnsi="Arial"/>
          <w:noProof w:val="0"/>
          <w:rtl/>
        </w:rPr>
      </w:pPr>
    </w:p>
    <w:p w:rsidR="00706B6F" w:rsidRDefault="00706B6F" w:rsidP="00706B6F">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כ' שבט תשפ"ד</w:t>
          </w:r>
        </w:sdtContent>
      </w:sdt>
      <w:r>
        <w:rPr>
          <w:rFonts w:ascii="Arial" w:hAnsi="Arial"/>
          <w:noProof w:val="0"/>
          <w:rtl/>
        </w:rPr>
        <w:t xml:space="preserve">, </w:t>
      </w:r>
      <w:sdt>
        <w:sdtPr>
          <w:rPr>
            <w:rtl/>
          </w:rPr>
          <w:alias w:val="1456"/>
          <w:tag w:val="1456"/>
          <w:id w:val="-1186288958"/>
          <w:text w:multiLine="1"/>
        </w:sdtPr>
        <w:sdtEndPr/>
        <w:sdtContent>
          <w:r>
            <w:rPr>
              <w:rFonts w:ascii="Arial" w:hAnsi="Arial"/>
              <w:noProof w:val="0"/>
              <w:rtl/>
            </w:rPr>
            <w:t>30 ינואר 2024</w:t>
          </w:r>
        </w:sdtContent>
      </w:sdt>
      <w:r>
        <w:rPr>
          <w:rFonts w:ascii="Arial" w:hAnsi="Arial"/>
          <w:noProof w:val="0"/>
          <w:rtl/>
        </w:rPr>
        <w:t>, בהעדר הצדדים.</w:t>
      </w:r>
    </w:p>
    <w:p w:rsidR="00706B6F" w:rsidRDefault="006719D3" w:rsidP="00706B6F">
      <w:pPr>
        <w:tabs>
          <w:tab w:val="left" w:pos="2553"/>
        </w:tabs>
        <w:ind w:left="5040"/>
        <w:rPr>
          <w:rtl/>
        </w:rPr>
      </w:pPr>
      <w:sdt>
        <w:sdtPr>
          <w:rPr>
            <w:rFonts w:hint="cs"/>
            <w:rtl/>
          </w:rPr>
          <w:alias w:val="2045"/>
          <w:tag w:val="2045"/>
          <w:id w:val="740689340"/>
          <w:placeholder>
            <w:docPart w:val="41CEB21A30AA4883A55695DE5377229F"/>
          </w:placeholder>
          <w:showingPlcHdr/>
          <w:text w:multiLine="1"/>
        </w:sdtPr>
        <w:sdtEndPr/>
        <w:sdtContent>
          <w:r w:rsidR="00706B6F">
            <w:rPr>
              <w:rFonts w:hint="cs"/>
              <w:rtl/>
            </w:rPr>
            <w:t xml:space="preserve">     </w:t>
          </w:r>
        </w:sdtContent>
      </w:sdt>
    </w:p>
    <w:p w:rsidR="00706B6F" w:rsidRDefault="00706B6F" w:rsidP="00706B6F">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1040717988"/>
        </w:sdtPr>
        <w:sdtEndPr/>
        <w:sdtContent>
          <w:r>
            <w:drawing>
              <wp:inline distT="0" distB="0" distL="0" distR="0" wp14:anchorId="423136E1" wp14:editId="7513339F">
                <wp:extent cx="1685925" cy="1009649"/>
                <wp:effectExtent l="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5" cstate="print">
                          <a:extLst/>
                        </a:blip>
                        <a:stretch>
                          <a:fillRect/>
                        </a:stretch>
                      </pic:blipFill>
                      <pic:spPr>
                        <a:xfrm>
                          <a:off x="0" y="0"/>
                          <a:ext cx="1685925" cy="1009649"/>
                        </a:xfrm>
                        <a:prstGeom prst="rect">
                          <a:avLst/>
                        </a:prstGeom>
                      </pic:spPr>
                    </pic:pic>
                  </a:graphicData>
                </a:graphic>
              </wp:inline>
            </w:drawing>
          </w:r>
        </w:sdtContent>
      </w:sdt>
    </w:p>
    <w:p w:rsidR="00706B6F" w:rsidRDefault="00706B6F" w:rsidP="00706B6F">
      <w:pPr>
        <w:tabs>
          <w:tab w:val="left" w:pos="2553"/>
        </w:tabs>
        <w:rPr>
          <w:rFonts w:ascii="Arial" w:hAnsi="Arial"/>
          <w:noProof w:val="0"/>
          <w:rtl/>
        </w:rPr>
      </w:pPr>
    </w:p>
    <w:p w:rsidR="00512360" w:rsidRPr="00951A32" w:rsidRDefault="00512360"/>
    <w:sectPr w:rsidR="00512360" w:rsidRPr="00951A32" w:rsidSect="00C11DC6">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FrankRuehl">
    <w:panose1 w:val="020E050306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1A32"/>
    <w:rsid w:val="00512360"/>
    <w:rsid w:val="006719D3"/>
    <w:rsid w:val="00706B6F"/>
    <w:rsid w:val="00951A32"/>
    <w:rsid w:val="00A5506A"/>
    <w:rsid w:val="00C11DC6"/>
    <w:rsid w:val="00CB73BE"/>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42233ED0-BBE2-49C7-A8B8-3223941C6D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51A32"/>
    <w:pPr>
      <w:bidi/>
      <w:spacing w:after="0" w:line="240" w:lineRule="auto"/>
    </w:pPr>
    <w:rPr>
      <w:rFonts w:ascii="Times New Roman" w:eastAsia="Times New Roman" w:hAnsi="Times New Roman" w:cs="David"/>
      <w:noProo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951A32"/>
    <w:pPr>
      <w:tabs>
        <w:tab w:val="center" w:pos="4153"/>
        <w:tab w:val="right" w:pos="8306"/>
      </w:tabs>
    </w:pPr>
  </w:style>
  <w:style w:type="character" w:customStyle="1" w:styleId="a4">
    <w:name w:val="כותרת עליונה תו"/>
    <w:basedOn w:val="a0"/>
    <w:link w:val="a3"/>
    <w:rsid w:val="00951A32"/>
    <w:rPr>
      <w:rFonts w:ascii="Times New Roman" w:eastAsia="Times New Roman" w:hAnsi="Times New Roman" w:cs="David"/>
      <w:noProof/>
      <w:sz w:val="24"/>
      <w:szCs w:val="24"/>
    </w:rPr>
  </w:style>
  <w:style w:type="paragraph" w:styleId="NormalWeb">
    <w:name w:val="Normal (Web)"/>
    <w:basedOn w:val="a"/>
    <w:uiPriority w:val="99"/>
    <w:semiHidden/>
    <w:unhideWhenUsed/>
    <w:rsid w:val="00951A32"/>
    <w:pPr>
      <w:bidi w:val="0"/>
      <w:spacing w:before="100" w:beforeAutospacing="1" w:after="100" w:afterAutospacing="1"/>
    </w:pPr>
    <w:rPr>
      <w:rFonts w:eastAsiaTheme="minorEastAsia" w:cs="Times New Roman"/>
      <w:noProof w:val="0"/>
    </w:rPr>
  </w:style>
  <w:style w:type="table" w:styleId="a5">
    <w:name w:val="Table Grid"/>
    <w:basedOn w:val="a1"/>
    <w:rsid w:val="00706B6F"/>
    <w:pPr>
      <w:bidi/>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a7"/>
    <w:uiPriority w:val="99"/>
    <w:semiHidden/>
    <w:unhideWhenUsed/>
    <w:rsid w:val="00706B6F"/>
    <w:rPr>
      <w:rFonts w:ascii="Tahoma" w:hAnsi="Tahoma" w:cs="Tahoma"/>
      <w:sz w:val="18"/>
      <w:szCs w:val="18"/>
    </w:rPr>
  </w:style>
  <w:style w:type="character" w:customStyle="1" w:styleId="a7">
    <w:name w:val="טקסט בלונים תו"/>
    <w:basedOn w:val="a0"/>
    <w:link w:val="a6"/>
    <w:uiPriority w:val="99"/>
    <w:semiHidden/>
    <w:rsid w:val="00706B6F"/>
    <w:rPr>
      <w:rFonts w:ascii="Tahoma" w:eastAsia="Times New Roman" w:hAnsi="Tahoma" w:cs="Tahoma"/>
      <w:noProof/>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glossaryDocument" Target="glossary/document.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jpg"/><Relationship Id="rId4"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41CEB21A30AA4883A55695DE5377229F"/>
        <w:category>
          <w:name w:val="כללי"/>
          <w:gallery w:val="placeholder"/>
        </w:category>
        <w:types>
          <w:type w:val="bbPlcHdr"/>
        </w:types>
        <w:behaviors>
          <w:behavior w:val="content"/>
        </w:behaviors>
        <w:guid w:val="{40233AD7-7DED-4D19-AD43-8D9C09330F49}"/>
      </w:docPartPr>
      <w:docPartBody>
        <w:p w:rsidR="00D91EAB" w:rsidRDefault="00E12BEC" w:rsidP="00E12BEC">
          <w:pPr>
            <w:pStyle w:val="41CEB21A30AA4883A55695DE5377229F"/>
          </w:pPr>
          <w:r>
            <w:rPr>
              <w:rFonts w:hint="cs"/>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FrankRuehl">
    <w:panose1 w:val="020E050306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2BEC"/>
    <w:rsid w:val="00743987"/>
    <w:rsid w:val="00D91EAB"/>
    <w:rsid w:val="00E12BEC"/>
    <w:rsid w:val="00E73D0C"/>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41CEB21A30AA4883A55695DE5377229F">
    <w:name w:val="41CEB21A30AA4883A55695DE5377229F"/>
    <w:rsid w:val="00E12BEC"/>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1667</Words>
  <Characters>8336</Characters>
  <Application>Microsoft Office Word</Application>
  <DocSecurity>0</DocSecurity>
  <Lines>69</Lines>
  <Paragraphs>19</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9984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מרדכי (מוטי) לוי</dc:creator>
  <cp:keywords/>
  <dc:description/>
  <cp:lastModifiedBy>נעה בקר</cp:lastModifiedBy>
  <cp:revision>2</cp:revision>
  <cp:lastPrinted>2024-05-22T07:48:00Z</cp:lastPrinted>
  <dcterms:created xsi:type="dcterms:W3CDTF">2024-05-26T11:44:00Z</dcterms:created>
  <dcterms:modified xsi:type="dcterms:W3CDTF">2024-05-26T11:44:00Z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79975a6c6aeaf857011549b04acc1c8960b21671e22ad135b1fdb2b90d14dec7</vt:lpwstr>
  </property>
</Properties>
</file>